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60" w:lineRule="auto"/>
        <w:jc w:val="center"/>
        <w:rPr>
          <w:rFonts w:ascii="楷体_GB2312" w:hAnsi="楷体_GB2312" w:eastAsia="楷体_GB2312" w:cs="楷体_GB2312"/>
          <w:b/>
          <w:bCs/>
          <w:color w:val="000000" w:themeColor="text1"/>
          <w:sz w:val="52"/>
          <w:szCs w:val="44"/>
          <w14:textFill>
            <w14:solidFill>
              <w14:schemeClr w14:val="tx1"/>
            </w14:solidFill>
          </w14:textFill>
        </w:rPr>
      </w:pPr>
      <w:r>
        <w:rPr>
          <w:rFonts w:hint="eastAsia" w:ascii="楷体_GB2312" w:hAnsi="楷体_GB2312" w:eastAsia="楷体_GB2312" w:cs="楷体_GB2312"/>
          <w:b/>
          <w:bCs/>
          <w:color w:val="000000" w:themeColor="text1"/>
          <w:sz w:val="52"/>
          <w:szCs w:val="44"/>
          <w14:textFill>
            <w14:solidFill>
              <w14:schemeClr w14:val="tx1"/>
            </w14:solidFill>
          </w14:textFill>
        </w:rPr>
        <w:t>乐山市人民医院</w:t>
      </w:r>
    </w:p>
    <w:p>
      <w:pPr>
        <w:spacing w:line="360" w:lineRule="auto"/>
        <w:jc w:val="center"/>
        <w:rPr>
          <w:rFonts w:hint="eastAsia" w:ascii="楷体_GB2312" w:hAnsi="楷体_GB2312" w:eastAsia="楷体_GB2312" w:cs="楷体_GB2312"/>
          <w:b/>
          <w:bCs/>
          <w:color w:val="000000" w:themeColor="text1"/>
          <w:sz w:val="52"/>
          <w:szCs w:val="44"/>
          <w14:textFill>
            <w14:solidFill>
              <w14:schemeClr w14:val="tx1"/>
            </w14:solidFill>
          </w14:textFill>
        </w:rPr>
      </w:pPr>
      <w:r>
        <w:rPr>
          <w:rFonts w:hint="eastAsia" w:ascii="楷体_GB2312" w:hAnsi="楷体_GB2312" w:eastAsia="楷体_GB2312" w:cs="楷体_GB2312"/>
          <w:b/>
          <w:bCs/>
          <w:color w:val="000000" w:themeColor="text1"/>
          <w:sz w:val="52"/>
          <w:szCs w:val="44"/>
          <w:lang w:val="en-US" w:eastAsia="zh-CN"/>
          <w14:textFill>
            <w14:solidFill>
              <w14:schemeClr w14:val="tx1"/>
            </w14:solidFill>
          </w14:textFill>
        </w:rPr>
        <w:t>发热门诊屋面漏水维修工程</w:t>
      </w:r>
    </w:p>
    <w:p>
      <w:pPr>
        <w:pStyle w:val="7"/>
        <w:spacing w:line="360" w:lineRule="auto"/>
        <w:rPr>
          <w:color w:val="000000" w:themeColor="text1"/>
          <w14:textFill>
            <w14:solidFill>
              <w14:schemeClr w14:val="tx1"/>
            </w14:solidFill>
          </w14:textFill>
        </w:rPr>
      </w:pPr>
    </w:p>
    <w:p>
      <w:pPr>
        <w:pStyle w:val="6"/>
        <w:spacing w:line="360" w:lineRule="auto"/>
        <w:rPr>
          <w:rFonts w:ascii="楷体_GB2312" w:hAnsi="楷体_GB2312" w:eastAsia="楷体_GB2312" w:cs="楷体_GB2312"/>
          <w:color w:val="000000" w:themeColor="text1"/>
          <w:sz w:val="44"/>
          <w:szCs w:val="44"/>
          <w14:textFill>
            <w14:solidFill>
              <w14:schemeClr w14:val="tx1"/>
            </w14:solidFill>
          </w14:textFill>
        </w:rPr>
      </w:pPr>
    </w:p>
    <w:p>
      <w:pPr>
        <w:pStyle w:val="6"/>
        <w:spacing w:line="360" w:lineRule="auto"/>
        <w:rPr>
          <w:rFonts w:ascii="楷体_GB2312" w:hAnsi="楷体_GB2312" w:eastAsia="楷体_GB2312" w:cs="楷体_GB2312"/>
          <w:color w:val="000000" w:themeColor="text1"/>
          <w:sz w:val="44"/>
          <w:szCs w:val="44"/>
          <w14:textFill>
            <w14:solidFill>
              <w14:schemeClr w14:val="tx1"/>
            </w14:solidFill>
          </w14:textFill>
        </w:rPr>
      </w:pPr>
    </w:p>
    <w:p>
      <w:pPr>
        <w:pStyle w:val="6"/>
        <w:spacing w:line="360" w:lineRule="auto"/>
        <w:rPr>
          <w:rFonts w:ascii="楷体_GB2312" w:hAnsi="楷体_GB2312" w:eastAsia="楷体_GB2312" w:cs="楷体_GB2312"/>
          <w:color w:val="000000" w:themeColor="text1"/>
          <w:sz w:val="44"/>
          <w:szCs w:val="44"/>
          <w14:textFill>
            <w14:solidFill>
              <w14:schemeClr w14:val="tx1"/>
            </w14:solidFill>
          </w14:textFill>
        </w:rPr>
      </w:pPr>
    </w:p>
    <w:p>
      <w:pPr>
        <w:pStyle w:val="6"/>
        <w:spacing w:line="360" w:lineRule="auto"/>
        <w:rPr>
          <w:rFonts w:ascii="楷体_GB2312" w:hAnsi="楷体_GB2312" w:eastAsia="楷体_GB2312" w:cs="楷体_GB2312"/>
          <w:color w:val="000000" w:themeColor="text1"/>
          <w:sz w:val="44"/>
          <w:szCs w:val="44"/>
          <w14:textFill>
            <w14:solidFill>
              <w14:schemeClr w14:val="tx1"/>
            </w14:solidFill>
          </w14:textFill>
        </w:rPr>
      </w:pPr>
    </w:p>
    <w:p>
      <w:pPr>
        <w:spacing w:line="360" w:lineRule="auto"/>
        <w:jc w:val="center"/>
        <w:rPr>
          <w:rFonts w:ascii="楷体_GB2312" w:hAnsi="楷体_GB2312" w:eastAsia="楷体_GB2312" w:cs="楷体_GB2312"/>
          <w:b/>
          <w:bCs/>
          <w:color w:val="000000" w:themeColor="text1"/>
          <w:sz w:val="96"/>
          <w:szCs w:val="44"/>
          <w14:textFill>
            <w14:solidFill>
              <w14:schemeClr w14:val="tx1"/>
            </w14:solidFill>
          </w14:textFill>
        </w:rPr>
      </w:pPr>
      <w:r>
        <w:rPr>
          <w:rFonts w:hint="eastAsia" w:ascii="楷体_GB2312" w:hAnsi="楷体_GB2312" w:eastAsia="楷体_GB2312" w:cs="楷体_GB2312"/>
          <w:b/>
          <w:bCs/>
          <w:color w:val="000000" w:themeColor="text1"/>
          <w:sz w:val="96"/>
          <w:szCs w:val="44"/>
          <w14:textFill>
            <w14:solidFill>
              <w14:schemeClr w14:val="tx1"/>
            </w14:solidFill>
          </w14:textFill>
        </w:rPr>
        <w:t>可行性研究报告</w:t>
      </w:r>
    </w:p>
    <w:p>
      <w:pPr>
        <w:spacing w:line="360" w:lineRule="auto"/>
        <w:jc w:val="center"/>
        <w:rPr>
          <w:rFonts w:ascii="楷体_GB2312" w:hAnsi="楷体_GB2312" w:eastAsia="楷体_GB2312" w:cs="楷体_GB2312"/>
          <w:color w:val="000000" w:themeColor="text1"/>
          <w:sz w:val="44"/>
          <w:szCs w:val="44"/>
          <w14:textFill>
            <w14:solidFill>
              <w14:schemeClr w14:val="tx1"/>
            </w14:solidFill>
          </w14:textFill>
        </w:rPr>
      </w:pPr>
    </w:p>
    <w:p>
      <w:pPr>
        <w:spacing w:line="360" w:lineRule="auto"/>
        <w:jc w:val="center"/>
        <w:rPr>
          <w:rFonts w:ascii="楷体_GB2312" w:hAnsi="楷体_GB2312" w:eastAsia="楷体_GB2312" w:cs="楷体_GB2312"/>
          <w:color w:val="000000" w:themeColor="text1"/>
          <w:sz w:val="44"/>
          <w:szCs w:val="44"/>
          <w14:textFill>
            <w14:solidFill>
              <w14:schemeClr w14:val="tx1"/>
            </w14:solidFill>
          </w14:textFill>
        </w:rPr>
      </w:pPr>
    </w:p>
    <w:p>
      <w:pPr>
        <w:pStyle w:val="12"/>
        <w:spacing w:line="360" w:lineRule="auto"/>
        <w:rPr>
          <w:color w:val="000000" w:themeColor="text1"/>
          <w14:textFill>
            <w14:solidFill>
              <w14:schemeClr w14:val="tx1"/>
            </w14:solidFill>
          </w14:textFill>
        </w:rPr>
      </w:pPr>
    </w:p>
    <w:p>
      <w:pPr>
        <w:spacing w:line="360" w:lineRule="auto"/>
        <w:rPr>
          <w:color w:val="000000" w:themeColor="text1"/>
          <w14:textFill>
            <w14:solidFill>
              <w14:schemeClr w14:val="tx1"/>
            </w14:solidFill>
          </w14:textFill>
        </w:rPr>
      </w:pPr>
    </w:p>
    <w:p>
      <w:pPr>
        <w:pStyle w:val="5"/>
        <w:rPr>
          <w:color w:val="000000" w:themeColor="text1"/>
          <w14:textFill>
            <w14:solidFill>
              <w14:schemeClr w14:val="tx1"/>
            </w14:solidFill>
          </w14:textFill>
        </w:rPr>
      </w:pPr>
    </w:p>
    <w:p>
      <w:pPr>
        <w:rPr>
          <w:color w:val="000000" w:themeColor="text1"/>
          <w14:textFill>
            <w14:solidFill>
              <w14:schemeClr w14:val="tx1"/>
            </w14:solidFill>
          </w14:textFill>
        </w:rPr>
      </w:pPr>
    </w:p>
    <w:p>
      <w:pPr>
        <w:pStyle w:val="12"/>
        <w:spacing w:line="360" w:lineRule="auto"/>
        <w:rPr>
          <w:color w:val="000000" w:themeColor="text1"/>
          <w14:textFill>
            <w14:solidFill>
              <w14:schemeClr w14:val="tx1"/>
            </w14:solidFill>
          </w14:textFill>
        </w:rPr>
      </w:pPr>
    </w:p>
    <w:p>
      <w:pPr>
        <w:spacing w:line="360" w:lineRule="auto"/>
        <w:rPr>
          <w:color w:val="000000" w:themeColor="text1"/>
          <w14:textFill>
            <w14:solidFill>
              <w14:schemeClr w14:val="tx1"/>
            </w14:solidFill>
          </w14:textFill>
        </w:rPr>
      </w:pPr>
    </w:p>
    <w:p>
      <w:pPr>
        <w:spacing w:line="360" w:lineRule="auto"/>
        <w:rPr>
          <w:color w:val="000000" w:themeColor="text1"/>
          <w14:textFill>
            <w14:solidFill>
              <w14:schemeClr w14:val="tx1"/>
            </w14:solidFill>
          </w14:textFill>
        </w:rPr>
      </w:pPr>
    </w:p>
    <w:p>
      <w:pPr>
        <w:spacing w:line="360" w:lineRule="auto"/>
        <w:jc w:val="center"/>
        <w:rPr>
          <w:rFonts w:ascii="楷体_GB2312" w:hAnsi="楷体_GB2312" w:eastAsia="楷体_GB2312" w:cs="楷体_GB2312"/>
          <w:b/>
          <w:bCs/>
          <w:color w:val="000000" w:themeColor="text1"/>
          <w:sz w:val="32"/>
          <w:szCs w:val="32"/>
          <w14:textFill>
            <w14:solidFill>
              <w14:schemeClr w14:val="tx1"/>
            </w14:solidFill>
          </w14:textFill>
        </w:rPr>
      </w:pPr>
      <w:r>
        <w:rPr>
          <w:rFonts w:hint="eastAsia" w:ascii="楷体_GB2312" w:hAnsi="楷体_GB2312" w:eastAsia="楷体_GB2312" w:cs="楷体_GB2312"/>
          <w:b/>
          <w:bCs/>
          <w:color w:val="000000" w:themeColor="text1"/>
          <w:sz w:val="32"/>
          <w:szCs w:val="32"/>
          <w14:textFill>
            <w14:solidFill>
              <w14:schemeClr w14:val="tx1"/>
            </w14:solidFill>
          </w14:textFill>
        </w:rPr>
        <w:t>建设单位：乐山市人民医院</w:t>
      </w:r>
    </w:p>
    <w:p>
      <w:pPr>
        <w:spacing w:line="360" w:lineRule="auto"/>
        <w:rPr>
          <w:rFonts w:ascii="楷体_GB2312" w:hAnsi="楷体_GB2312" w:eastAsia="楷体_GB2312" w:cs="楷体_GB2312"/>
          <w:b/>
          <w:bCs/>
          <w:color w:val="000000" w:themeColor="text1"/>
          <w:sz w:val="32"/>
          <w:szCs w:val="32"/>
          <w14:textFill>
            <w14:solidFill>
              <w14:schemeClr w14:val="tx1"/>
            </w14:solidFill>
          </w14:textFill>
        </w:rPr>
      </w:pPr>
    </w:p>
    <w:p>
      <w:pPr>
        <w:spacing w:line="360" w:lineRule="auto"/>
        <w:jc w:val="center"/>
        <w:rPr>
          <w:rFonts w:ascii="楷体_GB2312" w:hAnsi="楷体_GB2312" w:eastAsia="楷体_GB2312" w:cs="楷体_GB2312"/>
          <w:b/>
          <w:bCs/>
          <w:color w:val="000000" w:themeColor="text1"/>
          <w:sz w:val="32"/>
          <w:szCs w:val="32"/>
          <w14:textFill>
            <w14:solidFill>
              <w14:schemeClr w14:val="tx1"/>
            </w14:solidFill>
          </w14:textFill>
        </w:rPr>
      </w:pPr>
      <w:r>
        <w:rPr>
          <w:rFonts w:hint="eastAsia" w:ascii="楷体_GB2312" w:hAnsi="楷体_GB2312" w:eastAsia="楷体_GB2312" w:cs="楷体_GB2312"/>
          <w:b/>
          <w:bCs/>
          <w:color w:val="000000" w:themeColor="text1"/>
          <w:sz w:val="32"/>
          <w:szCs w:val="32"/>
          <w14:textFill>
            <w14:solidFill>
              <w14:schemeClr w14:val="tx1"/>
            </w14:solidFill>
          </w14:textFill>
        </w:rPr>
        <w:t>编制单位：乐山上诚工程管理服务有限公司</w:t>
      </w:r>
    </w:p>
    <w:p>
      <w:pPr>
        <w:spacing w:line="360" w:lineRule="auto"/>
        <w:jc w:val="center"/>
        <w:rPr>
          <w:rFonts w:ascii="楷体_GB2312" w:hAnsi="楷体_GB2312" w:eastAsia="楷体_GB2312" w:cs="楷体_GB2312"/>
          <w:b/>
          <w:bCs/>
          <w:color w:val="000000" w:themeColor="text1"/>
          <w:sz w:val="32"/>
          <w:szCs w:val="32"/>
          <w14:textFill>
            <w14:solidFill>
              <w14:schemeClr w14:val="tx1"/>
            </w14:solidFill>
          </w14:textFill>
        </w:rPr>
      </w:pPr>
    </w:p>
    <w:p>
      <w:pPr>
        <w:jc w:val="center"/>
        <w:rPr>
          <w:rFonts w:ascii="楷体_GB2312" w:hAnsi="楷体_GB2312" w:eastAsia="楷体_GB2312" w:cs="楷体_GB2312"/>
          <w:b/>
          <w:bCs/>
          <w:color w:val="000000" w:themeColor="text1"/>
          <w:sz w:val="44"/>
          <w:szCs w:val="44"/>
          <w14:textFill>
            <w14:solidFill>
              <w14:schemeClr w14:val="tx1"/>
            </w14:solidFill>
          </w14:textFill>
        </w:rPr>
        <w:sectPr>
          <w:pgSz w:w="11906" w:h="16838"/>
          <w:pgMar w:top="1440" w:right="1800" w:bottom="1440" w:left="1800" w:header="851" w:footer="992" w:gutter="0"/>
          <w:pgNumType w:start="1"/>
          <w:cols w:space="425" w:num="1"/>
          <w:docGrid w:type="lines" w:linePitch="312" w:charSpace="0"/>
        </w:sectPr>
      </w:pPr>
      <w:r>
        <w:rPr>
          <w:rFonts w:hint="eastAsia" w:ascii="楷体_GB2312" w:hAnsi="楷体_GB2312" w:eastAsia="楷体_GB2312" w:cs="楷体_GB2312"/>
          <w:b/>
          <w:bCs/>
          <w:color w:val="000000" w:themeColor="text1"/>
          <w:sz w:val="32"/>
          <w:szCs w:val="32"/>
          <w14:textFill>
            <w14:solidFill>
              <w14:schemeClr w14:val="tx1"/>
            </w14:solidFill>
          </w14:textFill>
        </w:rPr>
        <w:t>2023年0</w:t>
      </w:r>
      <w:r>
        <w:rPr>
          <w:rFonts w:hint="eastAsia" w:ascii="楷体_GB2312" w:hAnsi="楷体_GB2312" w:eastAsia="楷体_GB2312" w:cs="楷体_GB2312"/>
          <w:b/>
          <w:bCs/>
          <w:color w:val="000000" w:themeColor="text1"/>
          <w:sz w:val="32"/>
          <w:szCs w:val="32"/>
          <w:lang w:val="en-US" w:eastAsia="zh-CN"/>
          <w14:textFill>
            <w14:solidFill>
              <w14:schemeClr w14:val="tx1"/>
            </w14:solidFill>
          </w14:textFill>
        </w:rPr>
        <w:t>3</w:t>
      </w:r>
      <w:r>
        <w:rPr>
          <w:rFonts w:hint="eastAsia" w:ascii="楷体_GB2312" w:hAnsi="楷体_GB2312" w:eastAsia="楷体_GB2312" w:cs="楷体_GB2312"/>
          <w:b/>
          <w:bCs/>
          <w:color w:val="000000" w:themeColor="text1"/>
          <w:sz w:val="32"/>
          <w:szCs w:val="32"/>
          <w14:textFill>
            <w14:solidFill>
              <w14:schemeClr w14:val="tx1"/>
            </w14:solidFill>
          </w14:textFill>
        </w:rPr>
        <w:t>月</w:t>
      </w:r>
    </w:p>
    <w:p>
      <w:pPr>
        <w:pStyle w:val="3"/>
        <w:jc w:val="center"/>
        <w:rPr>
          <w:rFonts w:ascii="楷体" w:hAnsi="楷体" w:eastAsia="楷体" w:cs="楷体"/>
          <w:color w:val="000000" w:themeColor="text1"/>
          <w:szCs w:val="44"/>
          <w14:textFill>
            <w14:solidFill>
              <w14:schemeClr w14:val="tx1"/>
            </w14:solidFill>
          </w14:textFill>
        </w:rPr>
      </w:pPr>
      <w:bookmarkStart w:id="0" w:name="_Toc27919"/>
      <w:r>
        <w:rPr>
          <w:rFonts w:hint="eastAsia" w:ascii="楷体" w:hAnsi="楷体" w:eastAsia="楷体" w:cs="楷体"/>
          <w:color w:val="000000" w:themeColor="text1"/>
          <w:szCs w:val="44"/>
          <w14:textFill>
            <w14:solidFill>
              <w14:schemeClr w14:val="tx1"/>
            </w14:solidFill>
          </w14:textFill>
        </w:rPr>
        <w:t>第一章  概述</w:t>
      </w:r>
      <w:bookmarkEnd w:id="0"/>
    </w:p>
    <w:p>
      <w:pPr>
        <w:pStyle w:val="4"/>
        <w:rPr>
          <w:rFonts w:ascii="楷体" w:hAnsi="楷体" w:eastAsia="楷体" w:cs="楷体"/>
          <w:color w:val="000000" w:themeColor="text1"/>
          <w14:textFill>
            <w14:solidFill>
              <w14:schemeClr w14:val="tx1"/>
            </w14:solidFill>
          </w14:textFill>
        </w:rPr>
      </w:pPr>
      <w:bookmarkStart w:id="1" w:name="_Toc5514"/>
      <w:bookmarkStart w:id="2" w:name="_Toc50126958"/>
      <w:r>
        <w:rPr>
          <w:rFonts w:hint="eastAsia" w:ascii="楷体" w:hAnsi="楷体" w:eastAsia="楷体" w:cs="楷体"/>
          <w:color w:val="000000" w:themeColor="text1"/>
          <w14:textFill>
            <w14:solidFill>
              <w14:schemeClr w14:val="tx1"/>
            </w14:solidFill>
          </w14:textFill>
        </w:rPr>
        <w:t>一、可行性研究报告编制依据</w:t>
      </w:r>
      <w:bookmarkEnd w:id="1"/>
      <w:bookmarkEnd w:id="2"/>
    </w:p>
    <w:p>
      <w:pPr>
        <w:ind w:firstLine="640" w:firstLineChars="200"/>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1、乐山市机关事务管理局《乐山市机关事务管理局 乐山市财政局关于报送2023年办公用房维修计划的通知》（乐机管函〔2023〕6号）</w:t>
      </w:r>
    </w:p>
    <w:p>
      <w:pPr>
        <w:ind w:firstLine="640" w:firstLineChars="200"/>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2、乐山市机关事务管理局《关于印发&lt;乐山市市级机关事业单位办公用房维修管理暂行办法&gt;的通知》（乐机管发〔2020〕9号）；</w:t>
      </w:r>
    </w:p>
    <w:p>
      <w:pPr>
        <w:ind w:firstLine="640" w:firstLineChars="200"/>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3、《党政机关办公用房建设标准》</w:t>
      </w:r>
    </w:p>
    <w:p>
      <w:pPr>
        <w:ind w:firstLine="640" w:firstLineChars="200"/>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4、《中华人民共和国国民经济和社会发展第十三个五年规划纲要》；</w:t>
      </w:r>
    </w:p>
    <w:p>
      <w:pPr>
        <w:ind w:firstLine="640" w:firstLineChars="200"/>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5、《四川省国民经济和社会发展“十四五”规划纲要》；</w:t>
      </w:r>
    </w:p>
    <w:p>
      <w:pPr>
        <w:ind w:firstLine="640" w:firstLineChars="200"/>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6、《乐山市国民经济和社会发展“十四五”规划纲要》；</w:t>
      </w:r>
    </w:p>
    <w:p>
      <w:pPr>
        <w:ind w:firstLine="640" w:firstLineChars="200"/>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7、《投资项目可行性研究指南》（国计办投资〔2002〕15号） 《国家计委办公厅对出版发行投资项目可行性研究指南一书的意见》（投资〔2001〕1153号）；</w:t>
      </w:r>
    </w:p>
    <w:p>
      <w:pPr>
        <w:ind w:firstLine="640" w:firstLineChars="200"/>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8、《建设项目经济评价方法与参数》（第三版）；</w:t>
      </w:r>
    </w:p>
    <w:p>
      <w:pPr>
        <w:ind w:firstLine="640" w:firstLineChars="200"/>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9、《中华人民共和国城市规划法》、《城市规划编制办法》等国家标准和规范；</w:t>
      </w:r>
    </w:p>
    <w:p>
      <w:pPr>
        <w:ind w:firstLine="640" w:firstLineChars="200"/>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10、中华人民共和国国家发展计划委员会第9号《工程建设项目可行性研究报告增加招标内容和核准招标事项暂行规定》（2001年6月18日）；</w:t>
      </w:r>
    </w:p>
    <w:p>
      <w:pPr>
        <w:ind w:firstLine="640" w:firstLineChars="200"/>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11、业主提供的其他资料；</w:t>
      </w:r>
    </w:p>
    <w:p>
      <w:pPr>
        <w:ind w:firstLine="640" w:firstLineChars="200"/>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12、国家相关现行施工技术规范：</w:t>
      </w:r>
    </w:p>
    <w:p>
      <w:pPr>
        <w:ind w:firstLine="640" w:firstLineChars="200"/>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13、有关建设法律、法规；</w:t>
      </w:r>
    </w:p>
    <w:p>
      <w:pPr>
        <w:ind w:firstLine="640" w:firstLineChars="200"/>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14、其他现行国家与地方相关法律法规；</w:t>
      </w:r>
    </w:p>
    <w:p>
      <w:pPr>
        <w:ind w:firstLine="640" w:firstLineChars="200"/>
        <w:rPr>
          <w:rFonts w:ascii="楷体" w:hAnsi="楷体" w:eastAsia="楷体" w:cs="楷体"/>
          <w:b/>
          <w:bCs/>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15、编制单位收集的有关资料。</w:t>
      </w:r>
    </w:p>
    <w:p>
      <w:pPr>
        <w:pStyle w:val="4"/>
        <w:rPr>
          <w:rFonts w:ascii="楷体" w:hAnsi="楷体" w:eastAsia="楷体" w:cs="楷体"/>
          <w:color w:val="000000" w:themeColor="text1"/>
          <w14:textFill>
            <w14:solidFill>
              <w14:schemeClr w14:val="tx1"/>
            </w14:solidFill>
          </w14:textFill>
        </w:rPr>
      </w:pPr>
      <w:bookmarkStart w:id="3" w:name="_Toc5482"/>
      <w:r>
        <w:rPr>
          <w:rFonts w:hint="eastAsia" w:ascii="楷体" w:hAnsi="楷体" w:eastAsia="楷体" w:cs="楷体"/>
          <w:color w:val="000000" w:themeColor="text1"/>
          <w14:textFill>
            <w14:solidFill>
              <w14:schemeClr w14:val="tx1"/>
            </w14:solidFill>
          </w14:textFill>
        </w:rPr>
        <w:t>二、项目简介</w:t>
      </w:r>
      <w:bookmarkEnd w:id="3"/>
    </w:p>
    <w:p>
      <w:pPr>
        <w:ind w:firstLine="640" w:firstLineChars="200"/>
        <w:rPr>
          <w:rFonts w:hint="eastAsia"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1、项目名称：</w:t>
      </w:r>
      <w:r>
        <w:rPr>
          <w:rFonts w:hint="eastAsia" w:ascii="楷体" w:hAnsi="楷体" w:eastAsia="楷体" w:cs="楷体"/>
          <w:color w:val="000000" w:themeColor="text1"/>
          <w:sz w:val="32"/>
          <w:szCs w:val="32"/>
          <w:lang w:eastAsia="zh-CN"/>
          <w14:textFill>
            <w14:solidFill>
              <w14:schemeClr w14:val="tx1"/>
            </w14:solidFill>
          </w14:textFill>
        </w:rPr>
        <w:t>乐山市人民医院</w:t>
      </w:r>
      <w:r>
        <w:rPr>
          <w:rFonts w:hint="eastAsia" w:ascii="楷体" w:hAnsi="楷体" w:eastAsia="楷体" w:cs="楷体"/>
          <w:i w:val="0"/>
          <w:iCs w:val="0"/>
          <w:color w:val="000000" w:themeColor="text1"/>
          <w:kern w:val="0"/>
          <w:sz w:val="32"/>
          <w:szCs w:val="32"/>
          <w:u w:val="none"/>
          <w:lang w:val="en-US" w:eastAsia="zh-CN" w:bidi="ar"/>
          <w14:textFill>
            <w14:solidFill>
              <w14:schemeClr w14:val="tx1"/>
            </w14:solidFill>
          </w14:textFill>
        </w:rPr>
        <w:t>发热门诊屋面漏水维修工程</w:t>
      </w:r>
    </w:p>
    <w:p>
      <w:pPr>
        <w:ind w:firstLine="640" w:firstLineChars="200"/>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2、项目性质：维修改造。</w:t>
      </w:r>
    </w:p>
    <w:p>
      <w:pPr>
        <w:ind w:firstLine="640" w:firstLineChars="200"/>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3、项目地点：项目维修改造实施地点分别在乐山市市中区白塔街222</w:t>
      </w:r>
      <w:r>
        <w:rPr>
          <w:rFonts w:hint="eastAsia" w:ascii="楷体" w:hAnsi="楷体" w:eastAsia="楷体" w:cs="楷体"/>
          <w:color w:val="000000" w:themeColor="text1"/>
          <w:sz w:val="32"/>
          <w:szCs w:val="32"/>
          <w:lang w:eastAsia="zh-CN"/>
          <w14:textFill>
            <w14:solidFill>
              <w14:schemeClr w14:val="tx1"/>
            </w14:solidFill>
          </w14:textFill>
        </w:rPr>
        <w:t>号</w:t>
      </w:r>
      <w:r>
        <w:rPr>
          <w:rFonts w:hint="eastAsia" w:ascii="楷体" w:hAnsi="楷体" w:eastAsia="楷体" w:cs="楷体"/>
          <w:color w:val="000000" w:themeColor="text1"/>
          <w:sz w:val="32"/>
          <w:szCs w:val="32"/>
          <w14:textFill>
            <w14:solidFill>
              <w14:schemeClr w14:val="tx1"/>
            </w14:solidFill>
          </w14:textFill>
        </w:rPr>
        <w:t>。</w:t>
      </w:r>
    </w:p>
    <w:p>
      <w:pPr>
        <w:pStyle w:val="7"/>
        <w:ind w:firstLine="640" w:firstLineChars="200"/>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4、项目总投资：</w:t>
      </w:r>
      <w:r>
        <w:rPr>
          <w:rFonts w:hint="eastAsia" w:ascii="楷体" w:hAnsi="楷体" w:eastAsia="楷体" w:cs="楷体"/>
          <w:color w:val="000000" w:themeColor="text1"/>
          <w:sz w:val="32"/>
          <w:szCs w:val="32"/>
          <w:lang w:val="en-US" w:eastAsia="zh-CN"/>
          <w14:textFill>
            <w14:solidFill>
              <w14:schemeClr w14:val="tx1"/>
            </w14:solidFill>
          </w14:textFill>
        </w:rPr>
        <w:t>36.00</w:t>
      </w:r>
      <w:r>
        <w:rPr>
          <w:rFonts w:hint="eastAsia" w:ascii="楷体" w:hAnsi="楷体" w:eastAsia="楷体" w:cs="楷体"/>
          <w:color w:val="000000" w:themeColor="text1"/>
          <w:sz w:val="32"/>
          <w:szCs w:val="32"/>
          <w14:textFill>
            <w14:solidFill>
              <w14:schemeClr w14:val="tx1"/>
            </w14:solidFill>
          </w14:textFill>
        </w:rPr>
        <w:t>万元。</w:t>
      </w:r>
    </w:p>
    <w:p>
      <w:pPr>
        <w:ind w:firstLine="640" w:firstLineChars="200"/>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5、项目业主：乐山市人民医院</w:t>
      </w:r>
    </w:p>
    <w:p>
      <w:pPr>
        <w:ind w:firstLine="640" w:firstLineChars="200"/>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6、项目规模及其预算：</w:t>
      </w:r>
    </w:p>
    <w:tbl>
      <w:tblPr>
        <w:tblStyle w:val="15"/>
        <w:tblW w:w="95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56"/>
        <w:gridCol w:w="3525"/>
        <w:gridCol w:w="1519"/>
        <w:gridCol w:w="1031"/>
        <w:gridCol w:w="1219"/>
        <w:gridCol w:w="16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6" w:type="dxa"/>
            <w:vAlign w:val="center"/>
          </w:tcPr>
          <w:p>
            <w:pPr>
              <w:widowControl/>
              <w:jc w:val="center"/>
              <w:textAlignment w:val="center"/>
              <w:rPr>
                <w:rFonts w:ascii="楷体" w:hAnsi="楷体" w:eastAsia="楷体" w:cs="楷体"/>
                <w:b/>
                <w:bCs/>
                <w:color w:val="000000" w:themeColor="text1"/>
                <w:sz w:val="32"/>
                <w:szCs w:val="32"/>
                <w14:textFill>
                  <w14:solidFill>
                    <w14:schemeClr w14:val="tx1"/>
                  </w14:solidFill>
                </w14:textFill>
              </w:rPr>
            </w:pPr>
            <w:r>
              <w:rPr>
                <w:rFonts w:hint="eastAsia" w:ascii="楷体" w:hAnsi="楷体" w:eastAsia="楷体" w:cs="楷体"/>
                <w:b/>
                <w:bCs/>
                <w:color w:val="000000" w:themeColor="text1"/>
                <w:sz w:val="32"/>
                <w:szCs w:val="32"/>
                <w14:textFill>
                  <w14:solidFill>
                    <w14:schemeClr w14:val="tx1"/>
                  </w14:solidFill>
                </w14:textFill>
              </w:rPr>
              <w:t>序号</w:t>
            </w:r>
          </w:p>
        </w:tc>
        <w:tc>
          <w:tcPr>
            <w:tcW w:w="3525" w:type="dxa"/>
            <w:vAlign w:val="center"/>
          </w:tcPr>
          <w:p>
            <w:pPr>
              <w:widowControl/>
              <w:jc w:val="center"/>
              <w:textAlignment w:val="center"/>
              <w:rPr>
                <w:rFonts w:ascii="楷体" w:hAnsi="楷体" w:eastAsia="楷体" w:cs="楷体"/>
                <w:b/>
                <w:bCs/>
                <w:color w:val="000000" w:themeColor="text1"/>
                <w:sz w:val="32"/>
                <w:szCs w:val="32"/>
                <w14:textFill>
                  <w14:solidFill>
                    <w14:schemeClr w14:val="tx1"/>
                  </w14:solidFill>
                </w14:textFill>
              </w:rPr>
            </w:pPr>
            <w:r>
              <w:rPr>
                <w:rFonts w:hint="eastAsia" w:ascii="楷体" w:hAnsi="楷体" w:eastAsia="楷体" w:cs="楷体"/>
                <w:b/>
                <w:bCs/>
                <w:color w:val="000000" w:themeColor="text1"/>
                <w:sz w:val="32"/>
                <w:szCs w:val="32"/>
                <w14:textFill>
                  <w14:solidFill>
                    <w14:schemeClr w14:val="tx1"/>
                  </w14:solidFill>
                </w14:textFill>
              </w:rPr>
              <w:t>工程项目名称</w:t>
            </w:r>
          </w:p>
        </w:tc>
        <w:tc>
          <w:tcPr>
            <w:tcW w:w="1519" w:type="dxa"/>
            <w:vAlign w:val="center"/>
          </w:tcPr>
          <w:p>
            <w:pPr>
              <w:widowControl/>
              <w:jc w:val="center"/>
              <w:textAlignment w:val="center"/>
              <w:rPr>
                <w:rFonts w:ascii="楷体" w:hAnsi="楷体" w:eastAsia="楷体" w:cs="楷体"/>
                <w:b/>
                <w:bCs/>
                <w:color w:val="000000" w:themeColor="text1"/>
                <w:sz w:val="32"/>
                <w:szCs w:val="32"/>
                <w14:textFill>
                  <w14:solidFill>
                    <w14:schemeClr w14:val="tx1"/>
                  </w14:solidFill>
                </w14:textFill>
              </w:rPr>
            </w:pPr>
            <w:r>
              <w:rPr>
                <w:rFonts w:hint="eastAsia" w:ascii="楷体" w:hAnsi="楷体" w:eastAsia="楷体" w:cs="楷体"/>
                <w:b/>
                <w:bCs/>
                <w:color w:val="000000" w:themeColor="text1"/>
                <w:sz w:val="32"/>
                <w:szCs w:val="32"/>
                <w14:textFill>
                  <w14:solidFill>
                    <w14:schemeClr w14:val="tx1"/>
                  </w14:solidFill>
                </w14:textFill>
              </w:rPr>
              <w:t>预算金额</w:t>
            </w:r>
          </w:p>
          <w:p>
            <w:pPr>
              <w:widowControl/>
              <w:jc w:val="center"/>
              <w:textAlignment w:val="center"/>
              <w:rPr>
                <w:rFonts w:ascii="楷体" w:hAnsi="楷体" w:eastAsia="楷体" w:cs="楷体"/>
                <w:b/>
                <w:bCs/>
                <w:color w:val="000000" w:themeColor="text1"/>
                <w:sz w:val="32"/>
                <w:szCs w:val="32"/>
                <w14:textFill>
                  <w14:solidFill>
                    <w14:schemeClr w14:val="tx1"/>
                  </w14:solidFill>
                </w14:textFill>
              </w:rPr>
            </w:pPr>
            <w:r>
              <w:rPr>
                <w:rFonts w:hint="eastAsia" w:ascii="楷体" w:hAnsi="楷体" w:eastAsia="楷体" w:cs="楷体"/>
                <w:b/>
                <w:bCs/>
                <w:color w:val="000000" w:themeColor="text1"/>
                <w:sz w:val="32"/>
                <w:szCs w:val="32"/>
                <w14:textFill>
                  <w14:solidFill>
                    <w14:schemeClr w14:val="tx1"/>
                  </w14:solidFill>
                </w14:textFill>
              </w:rPr>
              <w:t>（万元）</w:t>
            </w:r>
          </w:p>
        </w:tc>
        <w:tc>
          <w:tcPr>
            <w:tcW w:w="1031" w:type="dxa"/>
            <w:vAlign w:val="center"/>
          </w:tcPr>
          <w:p>
            <w:pPr>
              <w:widowControl/>
              <w:jc w:val="center"/>
              <w:textAlignment w:val="center"/>
              <w:rPr>
                <w:rFonts w:ascii="楷体" w:hAnsi="楷体" w:eastAsia="楷体" w:cs="楷体"/>
                <w:b/>
                <w:bCs/>
                <w:color w:val="000000" w:themeColor="text1"/>
                <w:sz w:val="32"/>
                <w:szCs w:val="32"/>
                <w14:textFill>
                  <w14:solidFill>
                    <w14:schemeClr w14:val="tx1"/>
                  </w14:solidFill>
                </w14:textFill>
              </w:rPr>
            </w:pPr>
            <w:r>
              <w:rPr>
                <w:rFonts w:hint="eastAsia" w:ascii="楷体" w:hAnsi="楷体" w:eastAsia="楷体" w:cs="楷体"/>
                <w:b/>
                <w:bCs/>
                <w:color w:val="000000" w:themeColor="text1"/>
                <w:sz w:val="32"/>
                <w:szCs w:val="32"/>
                <w14:textFill>
                  <w14:solidFill>
                    <w14:schemeClr w14:val="tx1"/>
                  </w14:solidFill>
                </w14:textFill>
              </w:rPr>
              <w:t>规模</w:t>
            </w:r>
          </w:p>
          <w:p>
            <w:pPr>
              <w:widowControl/>
              <w:jc w:val="center"/>
              <w:textAlignment w:val="center"/>
              <w:rPr>
                <w:rFonts w:ascii="楷体" w:hAnsi="楷体" w:eastAsia="楷体" w:cs="楷体"/>
                <w:b/>
                <w:bCs/>
                <w:color w:val="000000" w:themeColor="text1"/>
                <w:sz w:val="32"/>
                <w:szCs w:val="32"/>
                <w14:textFill>
                  <w14:solidFill>
                    <w14:schemeClr w14:val="tx1"/>
                  </w14:solidFill>
                </w14:textFill>
              </w:rPr>
            </w:pPr>
            <w:r>
              <w:rPr>
                <w:rFonts w:hint="eastAsia" w:ascii="楷体" w:hAnsi="楷体" w:eastAsia="楷体" w:cs="楷体"/>
                <w:b/>
                <w:bCs/>
                <w:color w:val="000000" w:themeColor="text1"/>
                <w:sz w:val="32"/>
                <w:szCs w:val="32"/>
                <w14:textFill>
                  <w14:solidFill>
                    <w14:schemeClr w14:val="tx1"/>
                  </w14:solidFill>
                </w14:textFill>
              </w:rPr>
              <w:t>（㎡）</w:t>
            </w:r>
          </w:p>
        </w:tc>
        <w:tc>
          <w:tcPr>
            <w:tcW w:w="1219" w:type="dxa"/>
            <w:vAlign w:val="center"/>
          </w:tcPr>
          <w:p>
            <w:pPr>
              <w:widowControl/>
              <w:jc w:val="center"/>
              <w:textAlignment w:val="center"/>
              <w:rPr>
                <w:rFonts w:ascii="楷体" w:hAnsi="楷体" w:eastAsia="楷体" w:cs="楷体"/>
                <w:b/>
                <w:bCs/>
                <w:color w:val="000000" w:themeColor="text1"/>
                <w:sz w:val="32"/>
                <w:szCs w:val="32"/>
                <w14:textFill>
                  <w14:solidFill>
                    <w14:schemeClr w14:val="tx1"/>
                  </w14:solidFill>
                </w14:textFill>
              </w:rPr>
            </w:pPr>
            <w:r>
              <w:rPr>
                <w:rFonts w:hint="eastAsia" w:ascii="楷体" w:hAnsi="楷体" w:eastAsia="楷体" w:cs="楷体"/>
                <w:b/>
                <w:bCs/>
                <w:color w:val="000000" w:themeColor="text1"/>
                <w:sz w:val="32"/>
                <w:szCs w:val="32"/>
                <w14:textFill>
                  <w14:solidFill>
                    <w14:schemeClr w14:val="tx1"/>
                  </w14:solidFill>
                </w14:textFill>
              </w:rPr>
              <w:t>建设</w:t>
            </w:r>
          </w:p>
          <w:p>
            <w:pPr>
              <w:widowControl/>
              <w:jc w:val="center"/>
              <w:textAlignment w:val="center"/>
              <w:rPr>
                <w:rFonts w:ascii="楷体" w:hAnsi="楷体" w:eastAsia="楷体" w:cs="楷体"/>
                <w:b/>
                <w:bCs/>
                <w:color w:val="000000" w:themeColor="text1"/>
                <w:sz w:val="32"/>
                <w:szCs w:val="32"/>
                <w14:textFill>
                  <w14:solidFill>
                    <w14:schemeClr w14:val="tx1"/>
                  </w14:solidFill>
                </w14:textFill>
              </w:rPr>
            </w:pPr>
            <w:r>
              <w:rPr>
                <w:rFonts w:hint="eastAsia" w:ascii="楷体" w:hAnsi="楷体" w:eastAsia="楷体" w:cs="楷体"/>
                <w:b/>
                <w:bCs/>
                <w:color w:val="000000" w:themeColor="text1"/>
                <w:sz w:val="32"/>
                <w:szCs w:val="32"/>
                <w14:textFill>
                  <w14:solidFill>
                    <w14:schemeClr w14:val="tx1"/>
                  </w14:solidFill>
                </w14:textFill>
              </w:rPr>
              <w:t>时间</w:t>
            </w:r>
          </w:p>
        </w:tc>
        <w:tc>
          <w:tcPr>
            <w:tcW w:w="1630" w:type="dxa"/>
            <w:vAlign w:val="center"/>
          </w:tcPr>
          <w:p>
            <w:pPr>
              <w:widowControl/>
              <w:jc w:val="center"/>
              <w:textAlignment w:val="center"/>
              <w:rPr>
                <w:rFonts w:ascii="楷体" w:hAnsi="楷体" w:eastAsia="楷体" w:cs="楷体"/>
                <w:b/>
                <w:bCs/>
                <w:color w:val="000000" w:themeColor="text1"/>
                <w:sz w:val="32"/>
                <w:szCs w:val="32"/>
                <w14:textFill>
                  <w14:solidFill>
                    <w14:schemeClr w14:val="tx1"/>
                  </w14:solidFill>
                </w14:textFill>
              </w:rPr>
            </w:pPr>
            <w:r>
              <w:rPr>
                <w:rFonts w:hint="eastAsia" w:ascii="楷体" w:hAnsi="楷体" w:eastAsia="楷体" w:cs="楷体"/>
                <w:b/>
                <w:bCs/>
                <w:color w:val="000000" w:themeColor="text1"/>
                <w:sz w:val="32"/>
                <w:szCs w:val="32"/>
                <w14:textFill>
                  <w14:solidFill>
                    <w14:schemeClr w14:val="tx1"/>
                  </w14:solidFill>
                </w14:textFill>
              </w:rPr>
              <w:t>结构类型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6" w:type="dxa"/>
            <w:vAlign w:val="center"/>
          </w:tcPr>
          <w:p>
            <w:pPr>
              <w:widowControl/>
              <w:jc w:val="center"/>
              <w:textAlignment w:val="center"/>
              <w:rPr>
                <w:rFonts w:hint="eastAsia" w:ascii="楷体" w:hAnsi="楷体" w:eastAsia="楷体" w:cs="楷体"/>
                <w:color w:val="000000" w:themeColor="text1"/>
                <w:sz w:val="32"/>
                <w:szCs w:val="32"/>
                <w:lang w:val="en-US" w:eastAsia="zh-CN"/>
                <w14:textFill>
                  <w14:solidFill>
                    <w14:schemeClr w14:val="tx1"/>
                  </w14:solidFill>
                </w14:textFill>
              </w:rPr>
            </w:pPr>
            <w:r>
              <w:rPr>
                <w:rFonts w:hint="eastAsia" w:ascii="楷体" w:hAnsi="楷体" w:eastAsia="楷体" w:cs="楷体"/>
                <w:color w:val="000000" w:themeColor="text1"/>
                <w:sz w:val="32"/>
                <w:szCs w:val="32"/>
                <w:lang w:val="en-US" w:eastAsia="zh-CN"/>
                <w14:textFill>
                  <w14:solidFill>
                    <w14:schemeClr w14:val="tx1"/>
                  </w14:solidFill>
                </w14:textFill>
              </w:rPr>
              <w:t>1</w:t>
            </w:r>
          </w:p>
        </w:tc>
        <w:tc>
          <w:tcPr>
            <w:tcW w:w="3525" w:type="dxa"/>
            <w:vAlign w:val="center"/>
          </w:tcPr>
          <w:p>
            <w:pPr>
              <w:keepNext w:val="0"/>
              <w:keepLines w:val="0"/>
              <w:widowControl/>
              <w:suppressLineNumbers w:val="0"/>
              <w:jc w:val="left"/>
              <w:textAlignment w:val="center"/>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i w:val="0"/>
                <w:iCs w:val="0"/>
                <w:color w:val="000000" w:themeColor="text1"/>
                <w:kern w:val="0"/>
                <w:sz w:val="32"/>
                <w:szCs w:val="32"/>
                <w:u w:val="none"/>
                <w:lang w:val="en-US" w:eastAsia="zh-CN" w:bidi="ar"/>
                <w14:textFill>
                  <w14:solidFill>
                    <w14:schemeClr w14:val="tx1"/>
                  </w14:solidFill>
                </w14:textFill>
              </w:rPr>
              <w:t>乐山市人民医院发热门诊屋面漏水维修工程</w:t>
            </w:r>
          </w:p>
        </w:tc>
        <w:tc>
          <w:tcPr>
            <w:tcW w:w="1519" w:type="dxa"/>
            <w:vAlign w:val="center"/>
          </w:tcPr>
          <w:p>
            <w:pPr>
              <w:widowControl/>
              <w:jc w:val="center"/>
              <w:textAlignment w:val="center"/>
              <w:rPr>
                <w:rFonts w:hint="eastAsia" w:ascii="楷体" w:hAnsi="楷体" w:eastAsia="楷体" w:cs="楷体"/>
                <w:color w:val="000000" w:themeColor="text1"/>
                <w:sz w:val="32"/>
                <w:szCs w:val="32"/>
                <w:lang w:eastAsia="zh-CN"/>
                <w14:textFill>
                  <w14:solidFill>
                    <w14:schemeClr w14:val="tx1"/>
                  </w14:solidFill>
                </w14:textFill>
              </w:rPr>
            </w:pPr>
            <w:r>
              <w:rPr>
                <w:rFonts w:ascii="楷体" w:hAnsi="楷体" w:eastAsia="楷体" w:cs="楷体"/>
                <w:color w:val="000000" w:themeColor="text1"/>
                <w:sz w:val="32"/>
                <w:szCs w:val="32"/>
                <w14:textFill>
                  <w14:solidFill>
                    <w14:schemeClr w14:val="tx1"/>
                  </w14:solidFill>
                </w14:textFill>
              </w:rPr>
              <w:t>36.0</w:t>
            </w:r>
            <w:r>
              <w:rPr>
                <w:rFonts w:hint="eastAsia" w:ascii="楷体" w:hAnsi="楷体" w:eastAsia="楷体" w:cs="楷体"/>
                <w:color w:val="000000" w:themeColor="text1"/>
                <w:sz w:val="32"/>
                <w:szCs w:val="32"/>
                <w:lang w:val="en-US" w:eastAsia="zh-CN"/>
                <w14:textFill>
                  <w14:solidFill>
                    <w14:schemeClr w14:val="tx1"/>
                  </w14:solidFill>
                </w14:textFill>
              </w:rPr>
              <w:t>0</w:t>
            </w:r>
          </w:p>
        </w:tc>
        <w:tc>
          <w:tcPr>
            <w:tcW w:w="1031" w:type="dxa"/>
            <w:vAlign w:val="center"/>
          </w:tcPr>
          <w:p>
            <w:pPr>
              <w:widowControl/>
              <w:jc w:val="center"/>
              <w:textAlignment w:val="center"/>
              <w:rPr>
                <w:rFonts w:ascii="楷体" w:hAnsi="楷体" w:eastAsia="楷体" w:cs="楷体"/>
                <w:color w:val="000000" w:themeColor="text1"/>
                <w:sz w:val="32"/>
                <w:szCs w:val="32"/>
                <w14:textFill>
                  <w14:solidFill>
                    <w14:schemeClr w14:val="tx1"/>
                  </w14:solidFill>
                </w14:textFill>
              </w:rPr>
            </w:pPr>
            <w:r>
              <w:rPr>
                <w:rFonts w:ascii="楷体" w:hAnsi="楷体" w:eastAsia="楷体" w:cs="楷体"/>
                <w:color w:val="000000" w:themeColor="text1"/>
                <w:sz w:val="32"/>
                <w:szCs w:val="32"/>
                <w14:textFill>
                  <w14:solidFill>
                    <w14:schemeClr w14:val="tx1"/>
                  </w14:solidFill>
                </w14:textFill>
              </w:rPr>
              <w:t>300</w:t>
            </w:r>
          </w:p>
        </w:tc>
        <w:tc>
          <w:tcPr>
            <w:tcW w:w="1219" w:type="dxa"/>
            <w:shd w:val="clear" w:color="auto" w:fill="auto"/>
            <w:vAlign w:val="center"/>
          </w:tcPr>
          <w:p>
            <w:pPr>
              <w:widowControl/>
              <w:jc w:val="center"/>
              <w:textAlignment w:val="center"/>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2023年</w:t>
            </w:r>
          </w:p>
        </w:tc>
        <w:tc>
          <w:tcPr>
            <w:tcW w:w="1630" w:type="dxa"/>
            <w:shd w:val="clear" w:color="auto" w:fill="auto"/>
            <w:vAlign w:val="center"/>
          </w:tcPr>
          <w:p>
            <w:pPr>
              <w:widowControl/>
              <w:jc w:val="center"/>
              <w:textAlignment w:val="center"/>
              <w:rPr>
                <w:rFonts w:ascii="楷体" w:hAnsi="楷体" w:eastAsia="楷体" w:cs="楷体"/>
                <w:color w:val="000000" w:themeColor="text1"/>
                <w:sz w:val="32"/>
                <w:szCs w:val="32"/>
                <w:highlight w:val="none"/>
                <w14:textFill>
                  <w14:solidFill>
                    <w14:schemeClr w14:val="tx1"/>
                  </w14:solidFill>
                </w14:textFill>
              </w:rPr>
            </w:pPr>
            <w:r>
              <w:rPr>
                <w:rFonts w:hint="eastAsia" w:ascii="楷体" w:hAnsi="楷体" w:eastAsia="楷体" w:cs="楷体"/>
                <w:color w:val="000000" w:themeColor="text1"/>
                <w:sz w:val="32"/>
                <w:szCs w:val="32"/>
                <w:highlight w:val="none"/>
                <w14:textFill>
                  <w14:solidFill>
                    <w14:schemeClr w14:val="tx1"/>
                  </w14:solidFill>
                </w14:textFill>
              </w:rPr>
              <w:t>砖木结构</w:t>
            </w:r>
          </w:p>
        </w:tc>
      </w:tr>
    </w:tbl>
    <w:p>
      <w:pPr>
        <w:pStyle w:val="4"/>
        <w:rPr>
          <w:rFonts w:ascii="楷体" w:hAnsi="楷体" w:eastAsia="楷体" w:cs="楷体"/>
          <w:color w:val="000000" w:themeColor="text1"/>
          <w14:textFill>
            <w14:solidFill>
              <w14:schemeClr w14:val="tx1"/>
            </w14:solidFill>
          </w14:textFill>
        </w:rPr>
      </w:pPr>
      <w:bookmarkStart w:id="4" w:name="_Toc24451"/>
      <w:bookmarkStart w:id="5" w:name="_Toc50126960"/>
      <w:r>
        <w:rPr>
          <w:rFonts w:hint="eastAsia" w:ascii="楷体" w:hAnsi="楷体" w:eastAsia="楷体" w:cs="楷体"/>
          <w:color w:val="000000" w:themeColor="text1"/>
          <w14:textFill>
            <w14:solidFill>
              <w14:schemeClr w14:val="tx1"/>
            </w14:solidFill>
          </w14:textFill>
        </w:rPr>
        <w:t>三、</w:t>
      </w:r>
      <w:bookmarkStart w:id="6" w:name="_Toc21796"/>
      <w:r>
        <w:rPr>
          <w:rFonts w:hint="eastAsia" w:ascii="楷体" w:hAnsi="楷体" w:eastAsia="楷体" w:cs="楷体"/>
          <w:color w:val="000000" w:themeColor="text1"/>
          <w14:textFill>
            <w14:solidFill>
              <w14:schemeClr w14:val="tx1"/>
            </w14:solidFill>
          </w14:textFill>
        </w:rPr>
        <w:t>可行性研究概要</w:t>
      </w:r>
      <w:bookmarkEnd w:id="4"/>
      <w:bookmarkEnd w:id="5"/>
      <w:bookmarkEnd w:id="6"/>
    </w:p>
    <w:p>
      <w:pPr>
        <w:ind w:firstLine="640" w:firstLineChars="200"/>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1、项目建设的必要性和可行性</w:t>
      </w:r>
    </w:p>
    <w:p>
      <w:pPr>
        <w:ind w:firstLine="640" w:firstLineChars="200"/>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通过本次维修改造工程的建设，乐山市人民医院的医疗服务环境将得到极大改善，安全隐患得到了解决，同时更为就医看病的群众带来了便利。</w:t>
      </w:r>
    </w:p>
    <w:p>
      <w:pPr>
        <w:ind w:firstLine="640" w:firstLineChars="200"/>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2、项目建设地址</w:t>
      </w:r>
    </w:p>
    <w:tbl>
      <w:tblPr>
        <w:tblStyle w:val="15"/>
        <w:tblW w:w="95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75"/>
        <w:gridCol w:w="4556"/>
        <w:gridCol w:w="40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75" w:type="dxa"/>
            <w:vAlign w:val="center"/>
          </w:tcPr>
          <w:p>
            <w:pPr>
              <w:widowControl/>
              <w:jc w:val="center"/>
              <w:textAlignment w:val="center"/>
              <w:rPr>
                <w:rFonts w:ascii="楷体" w:hAnsi="楷体" w:eastAsia="楷体" w:cs="楷体"/>
                <w:b/>
                <w:bCs/>
                <w:color w:val="000000" w:themeColor="text1"/>
                <w:sz w:val="32"/>
                <w:szCs w:val="32"/>
                <w14:textFill>
                  <w14:solidFill>
                    <w14:schemeClr w14:val="tx1"/>
                  </w14:solidFill>
                </w14:textFill>
              </w:rPr>
            </w:pPr>
            <w:r>
              <w:rPr>
                <w:rFonts w:hint="eastAsia" w:ascii="楷体" w:hAnsi="楷体" w:eastAsia="楷体" w:cs="楷体"/>
                <w:b/>
                <w:bCs/>
                <w:color w:val="000000" w:themeColor="text1"/>
                <w:sz w:val="32"/>
                <w:szCs w:val="32"/>
                <w14:textFill>
                  <w14:solidFill>
                    <w14:schemeClr w14:val="tx1"/>
                  </w14:solidFill>
                </w14:textFill>
              </w:rPr>
              <w:t>序号</w:t>
            </w:r>
          </w:p>
        </w:tc>
        <w:tc>
          <w:tcPr>
            <w:tcW w:w="4556" w:type="dxa"/>
            <w:vAlign w:val="center"/>
          </w:tcPr>
          <w:p>
            <w:pPr>
              <w:widowControl/>
              <w:jc w:val="center"/>
              <w:textAlignment w:val="center"/>
              <w:rPr>
                <w:rFonts w:ascii="楷体" w:hAnsi="楷体" w:eastAsia="楷体" w:cs="楷体"/>
                <w:b/>
                <w:bCs/>
                <w:color w:val="000000" w:themeColor="text1"/>
                <w:sz w:val="32"/>
                <w:szCs w:val="32"/>
                <w14:textFill>
                  <w14:solidFill>
                    <w14:schemeClr w14:val="tx1"/>
                  </w14:solidFill>
                </w14:textFill>
              </w:rPr>
            </w:pPr>
            <w:r>
              <w:rPr>
                <w:rFonts w:hint="eastAsia" w:ascii="楷体" w:hAnsi="楷体" w:eastAsia="楷体" w:cs="楷体"/>
                <w:b/>
                <w:bCs/>
                <w:color w:val="000000" w:themeColor="text1"/>
                <w:sz w:val="32"/>
                <w:szCs w:val="32"/>
                <w14:textFill>
                  <w14:solidFill>
                    <w14:schemeClr w14:val="tx1"/>
                  </w14:solidFill>
                </w14:textFill>
              </w:rPr>
              <w:t>工程项目名称</w:t>
            </w:r>
          </w:p>
        </w:tc>
        <w:tc>
          <w:tcPr>
            <w:tcW w:w="4049" w:type="dxa"/>
            <w:vAlign w:val="center"/>
          </w:tcPr>
          <w:p>
            <w:pPr>
              <w:widowControl/>
              <w:jc w:val="center"/>
              <w:textAlignment w:val="center"/>
              <w:rPr>
                <w:rFonts w:ascii="楷体" w:hAnsi="楷体" w:eastAsia="楷体" w:cs="楷体"/>
                <w:b/>
                <w:bCs/>
                <w:color w:val="000000" w:themeColor="text1"/>
                <w:sz w:val="32"/>
                <w:szCs w:val="32"/>
                <w14:textFill>
                  <w14:solidFill>
                    <w14:schemeClr w14:val="tx1"/>
                  </w14:solidFill>
                </w14:textFill>
              </w:rPr>
            </w:pPr>
            <w:r>
              <w:rPr>
                <w:rFonts w:hint="eastAsia" w:ascii="楷体" w:hAnsi="楷体" w:eastAsia="楷体" w:cs="楷体"/>
                <w:b/>
                <w:bCs/>
                <w:color w:val="000000" w:themeColor="text1"/>
                <w:sz w:val="32"/>
                <w:szCs w:val="32"/>
                <w14:textFill>
                  <w14:solidFill>
                    <w14:schemeClr w14:val="tx1"/>
                  </w14:solidFill>
                </w14:textFill>
              </w:rPr>
              <w:t>建设地址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75" w:type="dxa"/>
            <w:vAlign w:val="center"/>
          </w:tcPr>
          <w:p>
            <w:pPr>
              <w:widowControl/>
              <w:jc w:val="center"/>
              <w:textAlignment w:val="center"/>
              <w:rPr>
                <w:rFonts w:hint="eastAsia" w:ascii="楷体" w:hAnsi="楷体" w:eastAsia="楷体" w:cs="楷体"/>
                <w:color w:val="000000" w:themeColor="text1"/>
                <w:sz w:val="32"/>
                <w:szCs w:val="32"/>
                <w:lang w:eastAsia="zh-CN"/>
                <w14:textFill>
                  <w14:solidFill>
                    <w14:schemeClr w14:val="tx1"/>
                  </w14:solidFill>
                </w14:textFill>
              </w:rPr>
            </w:pPr>
            <w:r>
              <w:rPr>
                <w:rFonts w:hint="eastAsia" w:ascii="楷体" w:hAnsi="楷体" w:eastAsia="楷体" w:cs="楷体"/>
                <w:color w:val="000000" w:themeColor="text1"/>
                <w:sz w:val="32"/>
                <w:szCs w:val="32"/>
                <w:lang w:val="en-US" w:eastAsia="zh-CN"/>
                <w14:textFill>
                  <w14:solidFill>
                    <w14:schemeClr w14:val="tx1"/>
                  </w14:solidFill>
                </w14:textFill>
              </w:rPr>
              <w:t>1</w:t>
            </w:r>
          </w:p>
        </w:tc>
        <w:tc>
          <w:tcPr>
            <w:tcW w:w="4556" w:type="dxa"/>
            <w:vAlign w:val="center"/>
          </w:tcPr>
          <w:p>
            <w:pPr>
              <w:keepNext w:val="0"/>
              <w:keepLines w:val="0"/>
              <w:widowControl/>
              <w:suppressLineNumbers w:val="0"/>
              <w:jc w:val="left"/>
              <w:textAlignment w:val="center"/>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i w:val="0"/>
                <w:iCs w:val="0"/>
                <w:color w:val="000000" w:themeColor="text1"/>
                <w:kern w:val="0"/>
                <w:sz w:val="32"/>
                <w:szCs w:val="32"/>
                <w:u w:val="none"/>
                <w:lang w:val="en-US" w:eastAsia="zh-CN" w:bidi="ar"/>
                <w14:textFill>
                  <w14:solidFill>
                    <w14:schemeClr w14:val="tx1"/>
                  </w14:solidFill>
                </w14:textFill>
              </w:rPr>
              <w:t>乐山市人民医院发热门诊屋面漏水维修工程</w:t>
            </w:r>
          </w:p>
        </w:tc>
        <w:tc>
          <w:tcPr>
            <w:tcW w:w="4049" w:type="dxa"/>
            <w:vAlign w:val="center"/>
          </w:tcPr>
          <w:p>
            <w:pPr>
              <w:widowControl/>
              <w:jc w:val="left"/>
              <w:textAlignment w:val="center"/>
              <w:rPr>
                <w:rFonts w:ascii="楷体" w:hAnsi="楷体" w:eastAsia="楷体" w:cs="楷体"/>
                <w:color w:val="000000" w:themeColor="text1"/>
                <w:kern w:val="0"/>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乐山市市中区白塔街222号</w:t>
            </w:r>
          </w:p>
        </w:tc>
      </w:tr>
    </w:tbl>
    <w:p>
      <w:pPr>
        <w:ind w:firstLine="640" w:firstLineChars="200"/>
        <w:rPr>
          <w:rFonts w:ascii="楷体" w:hAnsi="楷体" w:eastAsia="楷体" w:cs="楷体"/>
          <w:color w:val="000000" w:themeColor="text1"/>
          <w:sz w:val="32"/>
          <w:szCs w:val="32"/>
          <w14:textFill>
            <w14:solidFill>
              <w14:schemeClr w14:val="tx1"/>
            </w14:solidFill>
          </w14:textFill>
        </w:rPr>
      </w:pPr>
      <w:bookmarkStart w:id="7" w:name="_Toc4735"/>
      <w:r>
        <w:rPr>
          <w:rFonts w:hint="eastAsia" w:ascii="楷体" w:hAnsi="楷体" w:eastAsia="楷体" w:cs="楷体"/>
          <w:color w:val="000000" w:themeColor="text1"/>
          <w:sz w:val="32"/>
          <w:szCs w:val="32"/>
          <w14:textFill>
            <w14:solidFill>
              <w14:schemeClr w14:val="tx1"/>
            </w14:solidFill>
          </w14:textFill>
        </w:rPr>
        <w:t>3、可行性研究结论</w:t>
      </w:r>
      <w:bookmarkEnd w:id="7"/>
    </w:p>
    <w:p>
      <w:pPr>
        <w:ind w:firstLine="640" w:firstLineChars="200"/>
        <w:rPr>
          <w:rFonts w:ascii="楷体" w:hAnsi="楷体" w:eastAsia="楷体" w:cs="楷体"/>
          <w:color w:val="000000" w:themeColor="text1"/>
          <w:sz w:val="44"/>
          <w:szCs w:val="44"/>
          <w14:textFill>
            <w14:solidFill>
              <w14:schemeClr w14:val="tx1"/>
            </w14:solidFill>
          </w14:textFill>
        </w:rPr>
      </w:pPr>
      <w:r>
        <w:rPr>
          <w:rFonts w:hint="eastAsia" w:ascii="楷体" w:hAnsi="楷体" w:eastAsia="楷体" w:cs="楷体"/>
          <w:color w:val="000000" w:themeColor="text1"/>
          <w:sz w:val="32"/>
          <w:szCs w:val="32"/>
          <w:lang w:val="zh-CN"/>
          <w14:textFill>
            <w14:solidFill>
              <w14:schemeClr w14:val="tx1"/>
            </w14:solidFill>
          </w14:textFill>
        </w:rPr>
        <w:t>综上所述，</w:t>
      </w:r>
      <w:r>
        <w:rPr>
          <w:rFonts w:hint="eastAsia" w:ascii="楷体" w:hAnsi="楷体" w:eastAsia="楷体" w:cs="楷体"/>
          <w:i w:val="0"/>
          <w:iCs w:val="0"/>
          <w:color w:val="000000" w:themeColor="text1"/>
          <w:kern w:val="0"/>
          <w:sz w:val="32"/>
          <w:szCs w:val="32"/>
          <w:u w:val="none"/>
          <w:lang w:val="en-US" w:eastAsia="zh-CN" w:bidi="ar"/>
          <w14:textFill>
            <w14:solidFill>
              <w14:schemeClr w14:val="tx1"/>
            </w14:solidFill>
          </w14:textFill>
        </w:rPr>
        <w:t>乐山市人民医院发热门诊屋面漏水维修工程</w:t>
      </w:r>
      <w:r>
        <w:rPr>
          <w:rFonts w:hint="eastAsia" w:ascii="楷体" w:hAnsi="楷体" w:eastAsia="楷体" w:cs="楷体"/>
          <w:color w:val="000000" w:themeColor="text1"/>
          <w:sz w:val="32"/>
          <w:szCs w:val="32"/>
          <w:lang w:val="zh-CN"/>
          <w14:textFill>
            <w14:solidFill>
              <w14:schemeClr w14:val="tx1"/>
            </w14:solidFill>
          </w14:textFill>
        </w:rPr>
        <w:t>是必要且可行的。项目的建设符合乐山市当前的发展战略，是乐山市人民医院规划发展的需要，是解决</w:t>
      </w:r>
      <w:r>
        <w:rPr>
          <w:rFonts w:hint="eastAsia" w:ascii="楷体" w:hAnsi="楷体" w:eastAsia="楷体" w:cs="楷体"/>
          <w:color w:val="000000" w:themeColor="text1"/>
          <w:sz w:val="32"/>
          <w:szCs w:val="32"/>
          <w14:textFill>
            <w14:solidFill>
              <w14:schemeClr w14:val="tx1"/>
            </w14:solidFill>
          </w14:textFill>
        </w:rPr>
        <w:t>安全隐患、</w:t>
      </w:r>
      <w:r>
        <w:rPr>
          <w:rFonts w:hint="eastAsia" w:ascii="楷体" w:hAnsi="楷体" w:eastAsia="楷体" w:cs="楷体"/>
          <w:color w:val="000000" w:themeColor="text1"/>
          <w:sz w:val="32"/>
          <w:szCs w:val="32"/>
          <w:lang w:val="zh-CN"/>
          <w14:textFill>
            <w14:solidFill>
              <w14:schemeClr w14:val="tx1"/>
            </w14:solidFill>
          </w14:textFill>
        </w:rPr>
        <w:t>改善医院环境和打造医院品牌、提升医院形象的需要，对乐山市医疗事业的发展将起到积极的推动作用。项目的建</w:t>
      </w:r>
      <w:r>
        <w:rPr>
          <w:rFonts w:hint="eastAsia" w:ascii="楷体" w:hAnsi="楷体" w:eastAsia="楷体" w:cs="楷体"/>
          <w:color w:val="000000" w:themeColor="text1"/>
          <w:sz w:val="32"/>
          <w:szCs w:val="32"/>
          <w14:textFill>
            <w14:solidFill>
              <w14:schemeClr w14:val="tx1"/>
            </w14:solidFill>
          </w14:textFill>
        </w:rPr>
        <w:t>成</w:t>
      </w:r>
      <w:r>
        <w:rPr>
          <w:rFonts w:hint="eastAsia" w:ascii="楷体" w:hAnsi="楷体" w:eastAsia="楷体" w:cs="楷体"/>
          <w:color w:val="000000" w:themeColor="text1"/>
          <w:sz w:val="32"/>
          <w:szCs w:val="32"/>
          <w:lang w:val="zh-CN"/>
          <w14:textFill>
            <w14:solidFill>
              <w14:schemeClr w14:val="tx1"/>
            </w14:solidFill>
          </w14:textFill>
        </w:rPr>
        <w:t>不仅能</w:t>
      </w:r>
      <w:r>
        <w:rPr>
          <w:rFonts w:hint="eastAsia" w:ascii="楷体" w:hAnsi="楷体" w:eastAsia="楷体" w:cs="楷体"/>
          <w:color w:val="000000" w:themeColor="text1"/>
          <w:sz w:val="32"/>
          <w:szCs w:val="32"/>
          <w14:textFill>
            <w14:solidFill>
              <w14:schemeClr w14:val="tx1"/>
            </w14:solidFill>
          </w14:textFill>
        </w:rPr>
        <w:t>缓解医院业务服务不足及困难、安全问题等，更能满足群众就医需求，</w:t>
      </w:r>
      <w:r>
        <w:rPr>
          <w:rFonts w:hint="eastAsia" w:ascii="楷体" w:hAnsi="楷体" w:eastAsia="楷体" w:cs="楷体"/>
          <w:color w:val="000000" w:themeColor="text1"/>
          <w:sz w:val="32"/>
          <w:szCs w:val="32"/>
          <w:lang w:val="zh-CN"/>
          <w14:textFill>
            <w14:solidFill>
              <w14:schemeClr w14:val="tx1"/>
            </w14:solidFill>
          </w14:textFill>
        </w:rPr>
        <w:t>有利于推进医院的高质量发展。</w:t>
      </w:r>
    </w:p>
    <w:p>
      <w:pPr>
        <w:widowControl/>
        <w:jc w:val="left"/>
        <w:rPr>
          <w:rFonts w:ascii="楷体" w:hAnsi="楷体" w:eastAsia="楷体" w:cs="楷体"/>
          <w:b/>
          <w:color w:val="000000" w:themeColor="text1"/>
          <w:kern w:val="44"/>
          <w:sz w:val="44"/>
          <w:szCs w:val="44"/>
          <w14:textFill>
            <w14:solidFill>
              <w14:schemeClr w14:val="tx1"/>
            </w14:solidFill>
          </w14:textFill>
        </w:rPr>
      </w:pPr>
      <w:r>
        <w:rPr>
          <w:rFonts w:ascii="楷体" w:hAnsi="楷体" w:eastAsia="楷体" w:cs="楷体"/>
          <w:color w:val="000000" w:themeColor="text1"/>
          <w:szCs w:val="44"/>
          <w14:textFill>
            <w14:solidFill>
              <w14:schemeClr w14:val="tx1"/>
            </w14:solidFill>
          </w14:textFill>
        </w:rPr>
        <w:br w:type="page"/>
      </w:r>
    </w:p>
    <w:p>
      <w:pPr>
        <w:pStyle w:val="3"/>
        <w:jc w:val="center"/>
        <w:rPr>
          <w:rFonts w:ascii="楷体" w:hAnsi="楷体" w:eastAsia="楷体" w:cs="楷体"/>
          <w:color w:val="000000" w:themeColor="text1"/>
          <w:szCs w:val="44"/>
          <w14:textFill>
            <w14:solidFill>
              <w14:schemeClr w14:val="tx1"/>
            </w14:solidFill>
          </w14:textFill>
        </w:rPr>
      </w:pPr>
      <w:bookmarkStart w:id="8" w:name="_Toc17145"/>
      <w:r>
        <w:rPr>
          <w:rFonts w:hint="eastAsia" w:ascii="楷体" w:hAnsi="楷体" w:eastAsia="楷体" w:cs="楷体"/>
          <w:color w:val="000000" w:themeColor="text1"/>
          <w:szCs w:val="44"/>
          <w14:textFill>
            <w14:solidFill>
              <w14:schemeClr w14:val="tx1"/>
            </w14:solidFill>
          </w14:textFill>
        </w:rPr>
        <w:t>第二章  项目实施的必要性及可行性</w:t>
      </w:r>
      <w:bookmarkEnd w:id="8"/>
    </w:p>
    <w:p>
      <w:pPr>
        <w:pStyle w:val="4"/>
        <w:rPr>
          <w:rFonts w:ascii="楷体" w:hAnsi="楷体" w:eastAsia="楷体" w:cs="楷体"/>
          <w:color w:val="000000" w:themeColor="text1"/>
          <w14:textFill>
            <w14:solidFill>
              <w14:schemeClr w14:val="tx1"/>
            </w14:solidFill>
          </w14:textFill>
        </w:rPr>
      </w:pPr>
      <w:bookmarkStart w:id="9" w:name="_Toc6253"/>
      <w:r>
        <w:rPr>
          <w:rFonts w:hint="eastAsia" w:ascii="楷体" w:hAnsi="楷体" w:eastAsia="楷体" w:cs="楷体"/>
          <w:color w:val="000000" w:themeColor="text1"/>
          <w:lang w:eastAsia="zh-CN"/>
          <w14:textFill>
            <w14:solidFill>
              <w14:schemeClr w14:val="tx1"/>
            </w14:solidFill>
          </w14:textFill>
        </w:rPr>
        <w:t>一</w:t>
      </w:r>
      <w:r>
        <w:rPr>
          <w:rFonts w:hint="eastAsia" w:ascii="楷体" w:hAnsi="楷体" w:eastAsia="楷体" w:cs="楷体"/>
          <w:color w:val="000000" w:themeColor="text1"/>
          <w14:textFill>
            <w14:solidFill>
              <w14:schemeClr w14:val="tx1"/>
            </w14:solidFill>
          </w14:textFill>
        </w:rPr>
        <w:t>、项目实施的必要性</w:t>
      </w:r>
      <w:bookmarkEnd w:id="9"/>
    </w:p>
    <w:p>
      <w:pPr>
        <w:ind w:firstLine="640" w:firstLineChars="200"/>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根据医院“三区一院”战略规划和后勤保障部基建维修工作职能，结合今年高新区医院即将搬迁投运及本部院区临床科室调整挪腾等实际情况。根据乐山市机关事务管理局和乐山市财政局发布的《关于报送2023年办公用房维修计划的通知》（乐机管函〔2023〕6号）文件的精神：“办公用房维修主要是对存在安全隐患、不能满足办公基本要求的办公用房进行必要的维修改造”的要求，实施本次项目建设。</w:t>
      </w:r>
    </w:p>
    <w:p>
      <w:pPr>
        <w:ind w:firstLine="640" w:firstLineChars="200"/>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根据乐山市人民医院自身特点及未来整体发展规划，本次“</w:t>
      </w:r>
      <w:r>
        <w:rPr>
          <w:rFonts w:hint="eastAsia" w:ascii="楷体" w:hAnsi="楷体" w:eastAsia="楷体" w:cs="楷体"/>
          <w:i w:val="0"/>
          <w:iCs w:val="0"/>
          <w:color w:val="000000" w:themeColor="text1"/>
          <w:kern w:val="0"/>
          <w:sz w:val="32"/>
          <w:szCs w:val="32"/>
          <w:u w:val="none"/>
          <w:lang w:val="en-US" w:eastAsia="zh-CN" w:bidi="ar"/>
          <w14:textFill>
            <w14:solidFill>
              <w14:schemeClr w14:val="tx1"/>
            </w14:solidFill>
          </w14:textFill>
        </w:rPr>
        <w:t>乐山市人民医院发热门诊屋面漏水维修工程</w:t>
      </w:r>
      <w:r>
        <w:rPr>
          <w:rFonts w:hint="eastAsia" w:ascii="楷体" w:hAnsi="楷体" w:eastAsia="楷体" w:cs="楷体"/>
          <w:color w:val="000000" w:themeColor="text1"/>
          <w:sz w:val="32"/>
          <w:szCs w:val="32"/>
          <w14:textFill>
            <w14:solidFill>
              <w14:schemeClr w14:val="tx1"/>
            </w14:solidFill>
          </w14:textFill>
        </w:rPr>
        <w:t>”计划在2023年底前分阶段建设完成。具体如下：</w:t>
      </w:r>
    </w:p>
    <w:p>
      <w:pPr>
        <w:pStyle w:val="7"/>
        <w:ind w:firstLine="643" w:firstLineChars="200"/>
        <w:rPr>
          <w:rFonts w:ascii="楷体" w:hAnsi="楷体" w:eastAsia="楷体" w:cs="楷体"/>
          <w:b/>
          <w:bCs/>
          <w:color w:val="000000" w:themeColor="text1"/>
          <w:sz w:val="32"/>
          <w:szCs w:val="32"/>
          <w14:textFill>
            <w14:solidFill>
              <w14:schemeClr w14:val="tx1"/>
            </w14:solidFill>
          </w14:textFill>
        </w:rPr>
      </w:pPr>
      <w:r>
        <w:rPr>
          <w:rFonts w:hint="eastAsia" w:ascii="楷体" w:hAnsi="楷体" w:eastAsia="楷体" w:cs="楷体"/>
          <w:b/>
          <w:bCs/>
          <w:color w:val="000000" w:themeColor="text1"/>
          <w:sz w:val="32"/>
          <w:szCs w:val="32"/>
          <w14:textFill>
            <w14:solidFill>
              <w14:schemeClr w14:val="tx1"/>
            </w14:solidFill>
          </w14:textFill>
        </w:rPr>
        <w:t>乐山市人民医院发热门诊屋面漏水维修工程</w:t>
      </w:r>
    </w:p>
    <w:p>
      <w:pPr>
        <w:ind w:firstLine="640" w:firstLineChars="200"/>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实施该项目，主要是改善乐山市人民医院发热门诊屋面漏水等问题。医院本部发热门诊为文幼章故居附属用房，原用于乐山市人民医院库房存放物资，现改为发热门诊。该房屋年代久远，多棵行道树已渗入屋面，落叶淤塞瓦垄沟,造成植被滋生，根须侵入瓦体形成漏雨渗水，造成医护人员工作不便，患者就医体验差并且该房屋长期漏水、屋面变形，会存在一系列安全隐患。</w:t>
      </w:r>
    </w:p>
    <w:p>
      <w:pPr>
        <w:pStyle w:val="7"/>
        <w:ind w:firstLine="640" w:firstLineChars="200"/>
        <w:rPr>
          <w:rFonts w:ascii="楷体" w:hAnsi="楷体" w:eastAsia="楷体" w:cs="楷体"/>
          <w:b/>
          <w:bCs/>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本项目改造，从发热门诊周围实际环境情况出发，因地制宜，设施完善，经济实用，保障有力，改造后可更好的完善功能分区，改善发热门诊就诊环境。通过本次维修工程，发热门诊的周边环境及问诊环境将得到极大改善。</w:t>
      </w:r>
    </w:p>
    <w:p>
      <w:pPr>
        <w:pStyle w:val="4"/>
        <w:rPr>
          <w:rFonts w:ascii="楷体" w:hAnsi="楷体" w:eastAsia="楷体" w:cs="楷体"/>
          <w:color w:val="000000" w:themeColor="text1"/>
          <w14:textFill>
            <w14:solidFill>
              <w14:schemeClr w14:val="tx1"/>
            </w14:solidFill>
          </w14:textFill>
        </w:rPr>
      </w:pPr>
      <w:bookmarkStart w:id="10" w:name="_Toc14766"/>
      <w:r>
        <w:rPr>
          <w:rFonts w:hint="eastAsia" w:ascii="楷体" w:hAnsi="楷体" w:eastAsia="楷体" w:cs="楷体"/>
          <w:color w:val="000000" w:themeColor="text1"/>
          <w:lang w:eastAsia="zh-CN"/>
          <w14:textFill>
            <w14:solidFill>
              <w14:schemeClr w14:val="tx1"/>
            </w14:solidFill>
          </w14:textFill>
        </w:rPr>
        <w:t>二</w:t>
      </w:r>
      <w:r>
        <w:rPr>
          <w:rFonts w:hint="eastAsia" w:ascii="楷体" w:hAnsi="楷体" w:eastAsia="楷体" w:cs="楷体"/>
          <w:color w:val="000000" w:themeColor="text1"/>
          <w14:textFill>
            <w14:solidFill>
              <w14:schemeClr w14:val="tx1"/>
            </w14:solidFill>
          </w14:textFill>
        </w:rPr>
        <w:t>、建设周期</w:t>
      </w:r>
      <w:bookmarkEnd w:id="10"/>
    </w:p>
    <w:p>
      <w:pPr>
        <w:pStyle w:val="7"/>
        <w:ind w:firstLine="640" w:firstLineChars="200"/>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 xml:space="preserve">医院按照自身的实际情况结合实际需要，统筹安排实施。 </w:t>
      </w:r>
    </w:p>
    <w:p>
      <w:pPr>
        <w:pStyle w:val="7"/>
        <w:jc w:val="left"/>
        <w:rPr>
          <w:rFonts w:ascii="楷体" w:hAnsi="楷体" w:eastAsia="楷体" w:cs="楷体"/>
          <w:color w:val="000000" w:themeColor="text1"/>
          <w:sz w:val="32"/>
          <w:szCs w:val="32"/>
          <w14:textFill>
            <w14:solidFill>
              <w14:schemeClr w14:val="tx1"/>
            </w14:solidFill>
          </w14:textFill>
        </w:rPr>
        <w:sectPr>
          <w:footerReference r:id="rId3" w:type="default"/>
          <w:pgSz w:w="11906" w:h="16838"/>
          <w:pgMar w:top="1440" w:right="1800" w:bottom="1440" w:left="1800" w:header="851" w:footer="992" w:gutter="0"/>
          <w:pgNumType w:fmt="decimal" w:start="1"/>
          <w:cols w:space="425" w:num="1"/>
          <w:docGrid w:type="lines" w:linePitch="312" w:charSpace="0"/>
        </w:sectPr>
      </w:pPr>
      <w:r>
        <w:rPr>
          <w:rFonts w:hint="eastAsia" w:ascii="楷体" w:hAnsi="楷体" w:eastAsia="楷体" w:cs="楷体"/>
          <w:color w:val="000000" w:themeColor="text1"/>
          <w:sz w:val="32"/>
          <w:szCs w:val="32"/>
          <w14:textFill>
            <w14:solidFill>
              <w14:schemeClr w14:val="tx1"/>
            </w14:solidFill>
          </w14:textFill>
        </w:rPr>
        <w:t xml:space="preserve">   </w:t>
      </w:r>
    </w:p>
    <w:p>
      <w:pPr>
        <w:pStyle w:val="2"/>
        <w:rPr>
          <w:lang w:val="zh-CN"/>
        </w:rPr>
      </w:pPr>
    </w:p>
    <w:p>
      <w:pPr>
        <w:pStyle w:val="3"/>
        <w:jc w:val="center"/>
        <w:rPr>
          <w:rFonts w:ascii="楷体" w:hAnsi="楷体" w:eastAsia="楷体" w:cs="楷体"/>
          <w:color w:val="000000" w:themeColor="text1"/>
          <w:szCs w:val="44"/>
          <w14:textFill>
            <w14:solidFill>
              <w14:schemeClr w14:val="tx1"/>
            </w14:solidFill>
          </w14:textFill>
        </w:rPr>
      </w:pPr>
      <w:bookmarkStart w:id="11" w:name="_Toc2694"/>
      <w:bookmarkStart w:id="12" w:name="_Toc50126965"/>
      <w:r>
        <w:rPr>
          <w:rFonts w:hint="eastAsia" w:ascii="楷体" w:hAnsi="楷体" w:eastAsia="楷体" w:cs="楷体"/>
          <w:color w:val="000000" w:themeColor="text1"/>
          <w:szCs w:val="44"/>
          <w14:textFill>
            <w14:solidFill>
              <w14:schemeClr w14:val="tx1"/>
            </w14:solidFill>
          </w14:textFill>
        </w:rPr>
        <w:t>第三章  项目选址与建设条件</w:t>
      </w:r>
      <w:bookmarkEnd w:id="11"/>
      <w:bookmarkEnd w:id="12"/>
    </w:p>
    <w:p>
      <w:pPr>
        <w:pStyle w:val="4"/>
        <w:rPr>
          <w:rFonts w:ascii="楷体" w:hAnsi="楷体" w:eastAsia="楷体" w:cs="楷体"/>
          <w:color w:val="000000" w:themeColor="text1"/>
          <w14:textFill>
            <w14:solidFill>
              <w14:schemeClr w14:val="tx1"/>
            </w14:solidFill>
          </w14:textFill>
        </w:rPr>
      </w:pPr>
      <w:bookmarkStart w:id="13" w:name="_Toc21597"/>
      <w:bookmarkStart w:id="14" w:name="_Toc50126966"/>
      <w:r>
        <w:rPr>
          <w:rFonts w:hint="eastAsia" w:ascii="楷体" w:hAnsi="楷体" w:eastAsia="楷体" w:cs="楷体"/>
          <w:color w:val="000000" w:themeColor="text1"/>
          <w14:textFill>
            <w14:solidFill>
              <w14:schemeClr w14:val="tx1"/>
            </w14:solidFill>
          </w14:textFill>
        </w:rPr>
        <w:t>一、项目改造地理位置</w:t>
      </w:r>
      <w:bookmarkEnd w:id="13"/>
      <w:bookmarkEnd w:id="14"/>
    </w:p>
    <w:p>
      <w:pPr>
        <w:pStyle w:val="7"/>
        <w:ind w:firstLine="640" w:firstLineChars="200"/>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lang w:val="zh-CN"/>
          <w14:textFill>
            <w14:solidFill>
              <w14:schemeClr w14:val="tx1"/>
            </w14:solidFill>
          </w14:textFill>
        </w:rPr>
        <w:t>本次维修改造项目实施地址分别位于</w:t>
      </w:r>
      <w:r>
        <w:rPr>
          <w:rFonts w:hint="eastAsia" w:ascii="楷体" w:hAnsi="楷体" w:eastAsia="楷体" w:cs="楷体"/>
          <w:color w:val="000000" w:themeColor="text1"/>
          <w:sz w:val="32"/>
          <w:szCs w:val="32"/>
          <w14:textFill>
            <w14:solidFill>
              <w14:schemeClr w14:val="tx1"/>
            </w14:solidFill>
          </w14:textFill>
        </w:rPr>
        <w:t>乐山市市中区白塔街222</w:t>
      </w:r>
      <w:r>
        <w:rPr>
          <w:rFonts w:hint="eastAsia" w:ascii="楷体" w:hAnsi="楷体" w:eastAsia="楷体" w:cs="楷体"/>
          <w:color w:val="000000" w:themeColor="text1"/>
          <w:sz w:val="32"/>
          <w:szCs w:val="32"/>
          <w:lang w:eastAsia="zh-CN"/>
          <w14:textFill>
            <w14:solidFill>
              <w14:schemeClr w14:val="tx1"/>
            </w14:solidFill>
          </w14:textFill>
        </w:rPr>
        <w:t>号</w:t>
      </w:r>
      <w:r>
        <w:rPr>
          <w:rFonts w:hint="eastAsia" w:ascii="楷体" w:hAnsi="楷体" w:eastAsia="楷体" w:cs="楷体"/>
          <w:color w:val="000000" w:themeColor="text1"/>
          <w:sz w:val="32"/>
          <w:szCs w:val="32"/>
          <w14:textFill>
            <w14:solidFill>
              <w14:schemeClr w14:val="tx1"/>
            </w14:solidFill>
          </w14:textFill>
        </w:rPr>
        <w:t>。</w:t>
      </w:r>
    </w:p>
    <w:p>
      <w:pPr>
        <w:pStyle w:val="7"/>
        <w:jc w:val="center"/>
        <w:rPr>
          <w:rFonts w:ascii="楷体" w:hAnsi="楷体" w:eastAsia="楷体" w:cs="楷体"/>
          <w:b/>
          <w:bCs/>
          <w:color w:val="000000" w:themeColor="text1"/>
          <w:sz w:val="32"/>
          <w:szCs w:val="32"/>
          <w14:textFill>
            <w14:solidFill>
              <w14:schemeClr w14:val="tx1"/>
            </w14:solidFill>
          </w14:textFill>
        </w:rPr>
      </w:pPr>
      <w:r>
        <w:rPr>
          <w:rFonts w:hint="eastAsia" w:ascii="楷体" w:hAnsi="楷体" w:eastAsia="楷体" w:cs="楷体"/>
          <w:b/>
          <w:bCs/>
          <w:color w:val="000000" w:themeColor="text1"/>
          <w:sz w:val="32"/>
          <w:szCs w:val="32"/>
          <w14:textFill>
            <w14:solidFill>
              <w14:schemeClr w14:val="tx1"/>
            </w14:solidFill>
          </w14:textFill>
        </w:rPr>
        <w:t>乐山市市中区白塔街222号</w:t>
      </w:r>
    </w:p>
    <w:p>
      <w:pPr>
        <w:pStyle w:val="7"/>
        <w:rPr>
          <w:color w:val="000000" w:themeColor="text1"/>
          <w14:textFill>
            <w14:solidFill>
              <w14:schemeClr w14:val="tx1"/>
            </w14:solidFill>
          </w14:textFill>
        </w:rPr>
      </w:pPr>
      <w:r>
        <w:rPr>
          <w:color w:val="000000" w:themeColor="text1"/>
          <w14:textFill>
            <w14:solidFill>
              <w14:schemeClr w14:val="tx1"/>
            </w14:solidFill>
          </w14:textFill>
        </w:rPr>
        <w:drawing>
          <wp:inline distT="0" distB="0" distL="114300" distR="114300">
            <wp:extent cx="5265420" cy="2959735"/>
            <wp:effectExtent l="0" t="0" r="11430" b="1206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5" cstate="print"/>
                    <a:stretch>
                      <a:fillRect/>
                    </a:stretch>
                  </pic:blipFill>
                  <pic:spPr>
                    <a:xfrm>
                      <a:off x="0" y="0"/>
                      <a:ext cx="5265420" cy="2959735"/>
                    </a:xfrm>
                    <a:prstGeom prst="rect">
                      <a:avLst/>
                    </a:prstGeom>
                    <a:noFill/>
                    <a:ln>
                      <a:noFill/>
                    </a:ln>
                  </pic:spPr>
                </pic:pic>
              </a:graphicData>
            </a:graphic>
          </wp:inline>
        </w:drawing>
      </w:r>
    </w:p>
    <w:p>
      <w:pPr>
        <w:pStyle w:val="7"/>
        <w:jc w:val="center"/>
        <w:rPr>
          <w:rFonts w:hint="eastAsia" w:ascii="楷体" w:hAnsi="楷体" w:eastAsia="楷体" w:cs="楷体"/>
          <w:b/>
          <w:bCs/>
          <w:color w:val="000000" w:themeColor="text1"/>
          <w:sz w:val="32"/>
          <w:szCs w:val="32"/>
          <w14:textFill>
            <w14:solidFill>
              <w14:schemeClr w14:val="tx1"/>
            </w14:solidFill>
          </w14:textFill>
        </w:rPr>
      </w:pPr>
    </w:p>
    <w:p>
      <w:pPr>
        <w:pStyle w:val="4"/>
        <w:rPr>
          <w:rFonts w:ascii="楷体" w:hAnsi="楷体" w:eastAsia="楷体" w:cs="楷体"/>
          <w:color w:val="000000" w:themeColor="text1"/>
          <w14:textFill>
            <w14:solidFill>
              <w14:schemeClr w14:val="tx1"/>
            </w14:solidFill>
          </w14:textFill>
        </w:rPr>
      </w:pPr>
      <w:bookmarkStart w:id="15" w:name="_Toc50126967"/>
      <w:bookmarkStart w:id="16" w:name="_Toc3474"/>
      <w:r>
        <w:rPr>
          <w:rFonts w:hint="eastAsia" w:ascii="楷体" w:hAnsi="楷体" w:eastAsia="楷体" w:cs="楷体"/>
          <w:color w:val="000000" w:themeColor="text1"/>
          <w14:textFill>
            <w14:solidFill>
              <w14:schemeClr w14:val="tx1"/>
            </w14:solidFill>
          </w14:textFill>
        </w:rPr>
        <w:t>二、基础设施</w:t>
      </w:r>
      <w:bookmarkEnd w:id="15"/>
      <w:bookmarkEnd w:id="16"/>
    </w:p>
    <w:p>
      <w:pPr>
        <w:ind w:firstLine="640" w:firstLineChars="200"/>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本次系列项目改造实施地址均位于乐山市市中区境内，给排水、电力、电信等基础设施比较完善，通讯网络发达，水电气供应充足。</w:t>
      </w:r>
    </w:p>
    <w:p>
      <w:pPr>
        <w:pStyle w:val="4"/>
        <w:rPr>
          <w:rFonts w:ascii="楷体" w:hAnsi="楷体" w:eastAsia="楷体" w:cs="楷体"/>
          <w:color w:val="000000" w:themeColor="text1"/>
          <w14:textFill>
            <w14:solidFill>
              <w14:schemeClr w14:val="tx1"/>
            </w14:solidFill>
          </w14:textFill>
        </w:rPr>
      </w:pPr>
      <w:bookmarkStart w:id="17" w:name="_Toc10808"/>
      <w:bookmarkStart w:id="18" w:name="_Toc50126968"/>
      <w:r>
        <w:rPr>
          <w:rFonts w:hint="eastAsia" w:ascii="楷体" w:hAnsi="楷体" w:eastAsia="楷体" w:cs="楷体"/>
          <w:color w:val="000000" w:themeColor="text1"/>
          <w14:textFill>
            <w14:solidFill>
              <w14:schemeClr w14:val="tx1"/>
            </w14:solidFill>
          </w14:textFill>
        </w:rPr>
        <w:t>三、交通条件</w:t>
      </w:r>
      <w:bookmarkEnd w:id="17"/>
      <w:bookmarkEnd w:id="18"/>
    </w:p>
    <w:p>
      <w:pPr>
        <w:ind w:firstLine="640" w:firstLineChars="200"/>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本次项目实施地址分别位于乐山市市中区白塔街222号，均位于市中区内，地理条件优越，周边交通便利，对本单位工作人员以及前来办事、看病、就医的群众提供了便利。</w:t>
      </w:r>
    </w:p>
    <w:p>
      <w:pPr>
        <w:ind w:firstLine="640" w:firstLineChars="200"/>
        <w:rPr>
          <w:rFonts w:ascii="楷体" w:hAnsi="楷体" w:eastAsia="楷体" w:cs="楷体"/>
          <w:color w:val="000000" w:themeColor="text1"/>
          <w:sz w:val="32"/>
          <w:szCs w:val="32"/>
          <w14:textFill>
            <w14:solidFill>
              <w14:schemeClr w14:val="tx1"/>
            </w14:solidFill>
          </w14:textFill>
        </w:rPr>
      </w:pPr>
    </w:p>
    <w:p>
      <w:pPr>
        <w:rPr>
          <w:rFonts w:ascii="楷体_GB2312" w:hAnsi="楷体_GB2312" w:eastAsia="楷体_GB2312" w:cs="楷体_GB2312"/>
          <w:color w:val="000000" w:themeColor="text1"/>
          <w:sz w:val="32"/>
          <w:szCs w:val="32"/>
          <w14:textFill>
            <w14:solidFill>
              <w14:schemeClr w14:val="tx1"/>
            </w14:solidFill>
          </w14:textFill>
        </w:rPr>
      </w:pPr>
      <w:r>
        <w:rPr>
          <w:rFonts w:hint="eastAsia" w:ascii="楷体_GB2312" w:hAnsi="楷体_GB2312" w:eastAsia="楷体_GB2312" w:cs="楷体_GB2312"/>
          <w:color w:val="000000" w:themeColor="text1"/>
          <w:sz w:val="32"/>
          <w:szCs w:val="32"/>
          <w14:textFill>
            <w14:solidFill>
              <w14:schemeClr w14:val="tx1"/>
            </w14:solidFill>
          </w14:textFill>
        </w:rPr>
        <w:br w:type="page"/>
      </w:r>
    </w:p>
    <w:p>
      <w:pPr>
        <w:pStyle w:val="3"/>
        <w:jc w:val="center"/>
        <w:rPr>
          <w:color w:val="000000" w:themeColor="text1"/>
          <w14:textFill>
            <w14:solidFill>
              <w14:schemeClr w14:val="tx1"/>
            </w14:solidFill>
          </w14:textFill>
        </w:rPr>
      </w:pPr>
      <w:bookmarkStart w:id="19" w:name="_Toc50126970"/>
      <w:bookmarkStart w:id="20" w:name="_Toc5666"/>
      <w:r>
        <w:rPr>
          <w:rFonts w:hint="eastAsia" w:ascii="楷体" w:hAnsi="楷体" w:eastAsia="楷体" w:cs="楷体"/>
          <w:color w:val="000000" w:themeColor="text1"/>
          <w:szCs w:val="44"/>
          <w14:textFill>
            <w14:solidFill>
              <w14:schemeClr w14:val="tx1"/>
            </w14:solidFill>
          </w14:textFill>
        </w:rPr>
        <w:t>第四章  项目改造方案</w:t>
      </w:r>
      <w:bookmarkEnd w:id="19"/>
      <w:bookmarkEnd w:id="20"/>
    </w:p>
    <w:p>
      <w:pPr>
        <w:pStyle w:val="4"/>
        <w:rPr>
          <w:rFonts w:ascii="楷体" w:hAnsi="楷体" w:eastAsia="楷体" w:cs="楷体"/>
          <w:color w:val="000000" w:themeColor="text1"/>
          <w14:textFill>
            <w14:solidFill>
              <w14:schemeClr w14:val="tx1"/>
            </w14:solidFill>
          </w14:textFill>
        </w:rPr>
      </w:pPr>
      <w:bookmarkStart w:id="21" w:name="_Toc50126972"/>
      <w:bookmarkStart w:id="22" w:name="_Toc31939"/>
      <w:r>
        <w:rPr>
          <w:rFonts w:hint="eastAsia" w:ascii="楷体" w:hAnsi="楷体" w:eastAsia="楷体" w:cs="楷体"/>
          <w:color w:val="000000" w:themeColor="text1"/>
          <w14:textFill>
            <w14:solidFill>
              <w14:schemeClr w14:val="tx1"/>
            </w14:solidFill>
          </w14:textFill>
        </w:rPr>
        <w:t>一、项目现状</w:t>
      </w:r>
      <w:bookmarkEnd w:id="21"/>
      <w:r>
        <w:rPr>
          <w:rFonts w:hint="eastAsia" w:ascii="楷体" w:hAnsi="楷体" w:eastAsia="楷体" w:cs="楷体"/>
          <w:color w:val="000000" w:themeColor="text1"/>
          <w14:textFill>
            <w14:solidFill>
              <w14:schemeClr w14:val="tx1"/>
            </w14:solidFill>
          </w14:textFill>
        </w:rPr>
        <w:t>及方案</w:t>
      </w:r>
      <w:bookmarkEnd w:id="22"/>
    </w:p>
    <w:p>
      <w:pPr>
        <w:ind w:firstLine="643" w:firstLineChars="200"/>
        <w:rPr>
          <w:rFonts w:ascii="楷体" w:hAnsi="楷体" w:eastAsia="楷体" w:cs="楷体"/>
          <w:b/>
          <w:bCs/>
          <w:color w:val="000000" w:themeColor="text1"/>
          <w:sz w:val="32"/>
          <w:szCs w:val="32"/>
          <w14:textFill>
            <w14:solidFill>
              <w14:schemeClr w14:val="tx1"/>
            </w14:solidFill>
          </w14:textFill>
        </w:rPr>
      </w:pPr>
      <w:r>
        <w:rPr>
          <w:rFonts w:hint="eastAsia" w:ascii="楷体" w:hAnsi="楷体" w:eastAsia="楷体" w:cs="楷体"/>
          <w:b/>
          <w:bCs/>
          <w:color w:val="000000" w:themeColor="text1"/>
          <w:sz w:val="32"/>
          <w:szCs w:val="32"/>
          <w14:textFill>
            <w14:solidFill>
              <w14:schemeClr w14:val="tx1"/>
            </w14:solidFill>
          </w14:textFill>
        </w:rPr>
        <w:t>乐山市人民医院发热门诊屋面漏水维修工程</w:t>
      </w:r>
    </w:p>
    <w:p>
      <w:pPr>
        <w:ind w:firstLine="640" w:firstLineChars="200"/>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本项目建筑位于四川省乐山市市中区白塔街222号。该建筑屋面防水层已经破损，造成长期漏水，木结构变形、墙面脱落等问题。</w:t>
      </w:r>
    </w:p>
    <w:p>
      <w:pPr>
        <w:pStyle w:val="7"/>
        <w:spacing w:line="360" w:lineRule="auto"/>
        <w:ind w:firstLine="640" w:firstLineChars="200"/>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该项目建筑面积： 300㎡，工程建设内容包括：泥塑脊修补、筒瓦及底瓦更换、屋面涂膜防水、吊顶天棚拆除/恢复、内墙乳胶漆、抹灰面氟碳漆、行道树修剪等。</w:t>
      </w:r>
    </w:p>
    <w:p>
      <w:pPr>
        <w:pStyle w:val="7"/>
        <w:spacing w:line="360" w:lineRule="auto"/>
        <w:rPr>
          <w:rFonts w:ascii="楷体" w:hAnsi="楷体" w:eastAsia="楷体" w:cs="楷体"/>
          <w:color w:val="000000" w:themeColor="text1"/>
          <w:sz w:val="32"/>
          <w:szCs w:val="32"/>
          <w14:textFill>
            <w14:solidFill>
              <w14:schemeClr w14:val="tx1"/>
            </w14:solidFill>
          </w14:textFill>
        </w:rPr>
      </w:pPr>
      <w:r>
        <w:rPr>
          <w:rFonts w:hAnsi="宋体" w:eastAsia="宋体" w:cs="宋体"/>
          <w:color w:val="000000" w:themeColor="text1"/>
          <w:sz w:val="24"/>
          <w:szCs w:val="24"/>
          <w14:textFill>
            <w14:solidFill>
              <w14:schemeClr w14:val="tx1"/>
            </w14:solidFill>
          </w14:textFill>
        </w:rPr>
        <w:drawing>
          <wp:inline distT="0" distB="0" distL="114300" distR="114300">
            <wp:extent cx="5269865" cy="3943350"/>
            <wp:effectExtent l="0" t="0" r="3175" b="3810"/>
            <wp:docPr id="3"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descr="IMG_256"/>
                    <pic:cNvPicPr>
                      <a:picLocks noChangeAspect="1"/>
                    </pic:cNvPicPr>
                  </pic:nvPicPr>
                  <pic:blipFill>
                    <a:blip r:embed="rId6" cstate="print"/>
                    <a:stretch>
                      <a:fillRect/>
                    </a:stretch>
                  </pic:blipFill>
                  <pic:spPr>
                    <a:xfrm>
                      <a:off x="0" y="0"/>
                      <a:ext cx="5269865" cy="3943350"/>
                    </a:xfrm>
                    <a:prstGeom prst="rect">
                      <a:avLst/>
                    </a:prstGeom>
                    <a:noFill/>
                    <a:ln w="9525">
                      <a:noFill/>
                    </a:ln>
                  </pic:spPr>
                </pic:pic>
              </a:graphicData>
            </a:graphic>
          </wp:inline>
        </w:drawing>
      </w:r>
    </w:p>
    <w:p>
      <w:pPr>
        <w:pStyle w:val="7"/>
        <w:spacing w:line="360" w:lineRule="auto"/>
        <w:ind w:firstLine="640" w:firstLineChars="200"/>
        <w:rPr>
          <w:rFonts w:ascii="楷体" w:hAnsi="楷体" w:eastAsia="楷体" w:cs="楷体"/>
          <w:color w:val="000000" w:themeColor="text1"/>
          <w:sz w:val="32"/>
          <w:szCs w:val="32"/>
          <w14:textFill>
            <w14:solidFill>
              <w14:schemeClr w14:val="tx1"/>
            </w14:solidFill>
          </w14:textFill>
        </w:rPr>
      </w:pPr>
    </w:p>
    <w:p>
      <w:pPr>
        <w:pStyle w:val="7"/>
        <w:spacing w:line="360" w:lineRule="auto"/>
        <w:ind w:firstLine="640" w:firstLineChars="200"/>
        <w:rPr>
          <w:rFonts w:ascii="楷体" w:hAnsi="楷体" w:eastAsia="楷体" w:cs="楷体"/>
          <w:color w:val="000000" w:themeColor="text1"/>
          <w:sz w:val="32"/>
          <w:szCs w:val="32"/>
          <w14:textFill>
            <w14:solidFill>
              <w14:schemeClr w14:val="tx1"/>
            </w14:solidFill>
          </w14:textFill>
        </w:rPr>
      </w:pPr>
    </w:p>
    <w:p>
      <w:pPr>
        <w:pStyle w:val="7"/>
        <w:spacing w:line="360" w:lineRule="auto"/>
        <w:rPr>
          <w:rFonts w:hAnsi="宋体" w:eastAsia="宋体" w:cs="宋体"/>
          <w:color w:val="000000" w:themeColor="text1"/>
          <w:sz w:val="24"/>
          <w:szCs w:val="24"/>
          <w14:textFill>
            <w14:solidFill>
              <w14:schemeClr w14:val="tx1"/>
            </w14:solidFill>
          </w14:textFill>
        </w:rPr>
      </w:pPr>
      <w:r>
        <w:rPr>
          <w:rFonts w:hAnsi="宋体" w:eastAsia="宋体" w:cs="宋体"/>
          <w:color w:val="000000" w:themeColor="text1"/>
          <w:sz w:val="24"/>
          <w:szCs w:val="24"/>
          <w14:textFill>
            <w14:solidFill>
              <w14:schemeClr w14:val="tx1"/>
            </w14:solidFill>
          </w14:textFill>
        </w:rPr>
        <w:drawing>
          <wp:inline distT="0" distB="0" distL="114300" distR="114300">
            <wp:extent cx="5270500" cy="3942080"/>
            <wp:effectExtent l="0" t="0" r="2540" b="5080"/>
            <wp:docPr id="4"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descr="IMG_256"/>
                    <pic:cNvPicPr>
                      <a:picLocks noChangeAspect="1"/>
                    </pic:cNvPicPr>
                  </pic:nvPicPr>
                  <pic:blipFill>
                    <a:blip r:embed="rId7" cstate="print"/>
                    <a:stretch>
                      <a:fillRect/>
                    </a:stretch>
                  </pic:blipFill>
                  <pic:spPr>
                    <a:xfrm>
                      <a:off x="0" y="0"/>
                      <a:ext cx="5270500" cy="3942080"/>
                    </a:xfrm>
                    <a:prstGeom prst="rect">
                      <a:avLst/>
                    </a:prstGeom>
                    <a:noFill/>
                    <a:ln w="9525">
                      <a:noFill/>
                    </a:ln>
                  </pic:spPr>
                </pic:pic>
              </a:graphicData>
            </a:graphic>
          </wp:inline>
        </w:drawing>
      </w:r>
    </w:p>
    <w:p>
      <w:pPr>
        <w:pStyle w:val="7"/>
        <w:spacing w:line="360" w:lineRule="auto"/>
        <w:rPr>
          <w:rFonts w:hAnsi="宋体" w:eastAsia="宋体" w:cs="宋体"/>
          <w:color w:val="000000" w:themeColor="text1"/>
          <w:sz w:val="24"/>
          <w:szCs w:val="24"/>
          <w14:textFill>
            <w14:solidFill>
              <w14:schemeClr w14:val="tx1"/>
            </w14:solidFill>
          </w14:textFill>
        </w:rPr>
      </w:pPr>
    </w:p>
    <w:p>
      <w:pPr>
        <w:rPr>
          <w:color w:val="000000" w:themeColor="text1"/>
          <w14:textFill>
            <w14:solidFill>
              <w14:schemeClr w14:val="tx1"/>
            </w14:solidFill>
          </w14:textFill>
        </w:rPr>
      </w:pPr>
      <w:r>
        <w:rPr>
          <w:color w:val="000000" w:themeColor="text1"/>
          <w14:textFill>
            <w14:solidFill>
              <w14:schemeClr w14:val="tx1"/>
            </w14:solidFill>
          </w14:textFill>
        </w:rPr>
        <w:drawing>
          <wp:inline distT="0" distB="0" distL="114300" distR="114300">
            <wp:extent cx="5272405" cy="3952240"/>
            <wp:effectExtent l="0" t="0" r="635" b="1016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8" cstate="print"/>
                    <a:stretch>
                      <a:fillRect/>
                    </a:stretch>
                  </pic:blipFill>
                  <pic:spPr>
                    <a:xfrm>
                      <a:off x="0" y="0"/>
                      <a:ext cx="5272405" cy="3952240"/>
                    </a:xfrm>
                    <a:prstGeom prst="rect">
                      <a:avLst/>
                    </a:prstGeom>
                    <a:noFill/>
                    <a:ln>
                      <a:noFill/>
                    </a:ln>
                  </pic:spPr>
                </pic:pic>
              </a:graphicData>
            </a:graphic>
          </wp:inline>
        </w:drawing>
      </w:r>
    </w:p>
    <w:p>
      <w:pPr>
        <w:pStyle w:val="7"/>
        <w:rPr>
          <w:color w:val="000000" w:themeColor="text1"/>
          <w14:textFill>
            <w14:solidFill>
              <w14:schemeClr w14:val="tx1"/>
            </w14:solidFill>
          </w14:textFill>
        </w:rPr>
      </w:pPr>
    </w:p>
    <w:p>
      <w:pPr>
        <w:pStyle w:val="7"/>
        <w:rPr>
          <w:color w:val="000000" w:themeColor="text1"/>
          <w14:textFill>
            <w14:solidFill>
              <w14:schemeClr w14:val="tx1"/>
            </w14:solidFill>
          </w14:textFill>
        </w:rPr>
      </w:pPr>
    </w:p>
    <w:p>
      <w:pPr>
        <w:pStyle w:val="7"/>
        <w:rPr>
          <w:color w:val="000000" w:themeColor="text1"/>
          <w14:textFill>
            <w14:solidFill>
              <w14:schemeClr w14:val="tx1"/>
            </w14:solidFill>
          </w14:textFill>
        </w:rPr>
      </w:pPr>
    </w:p>
    <w:p>
      <w:pPr>
        <w:pStyle w:val="7"/>
        <w:rPr>
          <w:color w:val="000000" w:themeColor="text1"/>
          <w14:textFill>
            <w14:solidFill>
              <w14:schemeClr w14:val="tx1"/>
            </w14:solidFill>
          </w14:textFill>
        </w:rPr>
      </w:pPr>
      <w:r>
        <w:rPr>
          <w:color w:val="000000" w:themeColor="text1"/>
          <w14:textFill>
            <w14:solidFill>
              <w14:schemeClr w14:val="tx1"/>
            </w14:solidFill>
          </w14:textFill>
        </w:rPr>
        <w:drawing>
          <wp:inline distT="0" distB="0" distL="114300" distR="114300">
            <wp:extent cx="5273040" cy="3948430"/>
            <wp:effectExtent l="0" t="0" r="0" b="13970"/>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9" cstate="print"/>
                    <a:stretch>
                      <a:fillRect/>
                    </a:stretch>
                  </pic:blipFill>
                  <pic:spPr>
                    <a:xfrm>
                      <a:off x="0" y="0"/>
                      <a:ext cx="5273040" cy="3948430"/>
                    </a:xfrm>
                    <a:prstGeom prst="rect">
                      <a:avLst/>
                    </a:prstGeom>
                    <a:noFill/>
                    <a:ln>
                      <a:noFill/>
                    </a:ln>
                  </pic:spPr>
                </pic:pic>
              </a:graphicData>
            </a:graphic>
          </wp:inline>
        </w:drawing>
      </w:r>
    </w:p>
    <w:p>
      <w:pPr>
        <w:jc w:val="center"/>
        <w:rPr>
          <w:rFonts w:ascii="楷体" w:hAnsi="楷体" w:eastAsia="楷体" w:cs="楷体"/>
          <w:b/>
          <w:bCs/>
          <w:color w:val="000000" w:themeColor="text1"/>
          <w:sz w:val="32"/>
          <w:szCs w:val="32"/>
          <w14:textFill>
            <w14:solidFill>
              <w14:schemeClr w14:val="tx1"/>
            </w14:solidFill>
          </w14:textFill>
        </w:rPr>
      </w:pPr>
      <w:r>
        <w:rPr>
          <w:color w:val="000000" w:themeColor="text1"/>
          <w14:textFill>
            <w14:solidFill>
              <w14:schemeClr w14:val="tx1"/>
            </w14:solidFill>
          </w14:textFill>
        </w:rPr>
        <w:drawing>
          <wp:inline distT="0" distB="0" distL="114300" distR="114300">
            <wp:extent cx="3616960" cy="4831080"/>
            <wp:effectExtent l="0" t="0" r="10160" b="0"/>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10" cstate="print"/>
                    <a:stretch>
                      <a:fillRect/>
                    </a:stretch>
                  </pic:blipFill>
                  <pic:spPr>
                    <a:xfrm>
                      <a:off x="0" y="0"/>
                      <a:ext cx="3616960" cy="4831080"/>
                    </a:xfrm>
                    <a:prstGeom prst="rect">
                      <a:avLst/>
                    </a:prstGeom>
                    <a:noFill/>
                    <a:ln>
                      <a:noFill/>
                    </a:ln>
                  </pic:spPr>
                </pic:pic>
              </a:graphicData>
            </a:graphic>
          </wp:inline>
        </w:drawing>
      </w:r>
    </w:p>
    <w:p>
      <w:pPr>
        <w:pStyle w:val="4"/>
        <w:rPr>
          <w:rFonts w:ascii="楷体" w:hAnsi="楷体" w:eastAsia="楷体" w:cs="楷体"/>
          <w:color w:val="000000" w:themeColor="text1"/>
          <w14:textFill>
            <w14:solidFill>
              <w14:schemeClr w14:val="tx1"/>
            </w14:solidFill>
          </w14:textFill>
        </w:rPr>
      </w:pPr>
      <w:bookmarkStart w:id="23" w:name="_Toc50126974"/>
      <w:bookmarkStart w:id="24" w:name="_Toc14835"/>
      <w:r>
        <w:rPr>
          <w:rFonts w:hint="eastAsia" w:ascii="楷体" w:hAnsi="楷体" w:eastAsia="楷体" w:cs="楷体"/>
          <w:color w:val="000000" w:themeColor="text1"/>
          <w14:textFill>
            <w14:solidFill>
              <w14:schemeClr w14:val="tx1"/>
            </w14:solidFill>
          </w14:textFill>
        </w:rPr>
        <w:t>二、项目改造要求</w:t>
      </w:r>
      <w:bookmarkEnd w:id="23"/>
      <w:bookmarkEnd w:id="24"/>
    </w:p>
    <w:p>
      <w:pPr>
        <w:pStyle w:val="18"/>
        <w:spacing w:line="360" w:lineRule="auto"/>
        <w:ind w:firstLine="0" w:firstLineChars="0"/>
        <w:rPr>
          <w:rFonts w:ascii="楷体" w:hAnsi="楷体" w:eastAsia="楷体" w:cs="楷体"/>
          <w:b/>
          <w:bCs/>
          <w:color w:val="000000" w:themeColor="text1"/>
          <w:sz w:val="32"/>
          <w:szCs w:val="32"/>
          <w14:textFill>
            <w14:solidFill>
              <w14:schemeClr w14:val="tx1"/>
            </w14:solidFill>
          </w14:textFill>
        </w:rPr>
      </w:pPr>
      <w:r>
        <w:rPr>
          <w:rFonts w:hint="eastAsia" w:ascii="楷体" w:hAnsi="楷体" w:eastAsia="楷体" w:cs="楷体"/>
          <w:b/>
          <w:bCs/>
          <w:color w:val="000000" w:themeColor="text1"/>
          <w:sz w:val="32"/>
          <w:szCs w:val="32"/>
          <w14:textFill>
            <w14:solidFill>
              <w14:schemeClr w14:val="tx1"/>
            </w14:solidFill>
          </w14:textFill>
        </w:rPr>
        <w:t>（一）装修材料要求</w:t>
      </w:r>
    </w:p>
    <w:p>
      <w:pPr>
        <w:ind w:firstLine="640" w:firstLineChars="200"/>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1、本改造工程安装及装饰所用材料、设备的品种、规格、性能应符合国家现行产品标准的规定并符合：《建筑内部装饰设计防火规范》（GB 50222-2017）、《室内装饰装修材料人造板及其制品中甲醛释放限量》（GB 18580-2008）、《室内装饰装修材料溶剂木器涂料中有毒有害物质限量》（GB 18581-2009）、《室内装饰装修材料内墙涂料中有害物质限量》（GB 18582-2008）、《室内装饰装修材料胶粘剂中有害物质限量》（GB 18583-2008）、《建筑材料放射性核素限量》（GB 6566-2010）、《室内用水性阻燃剂、防水剂、防腐剂有害物质的限量》（GB 50325-2010）。</w:t>
      </w:r>
    </w:p>
    <w:p>
      <w:pPr>
        <w:pStyle w:val="7"/>
        <w:spacing w:line="360" w:lineRule="auto"/>
        <w:ind w:firstLine="627" w:firstLineChars="196"/>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2、本工程选用的各种装修材料及产品，应根据设计方提供材料规格、品质、颜色等技术条件选用本工程的各种装饰材料及产品。由施工单位提供材料样板，并提供材料材料合格书、使用说明书及环保、防火性能检测报告，进口产品应提供入境商品检验合格证明。经建设单位、设计单位、监理单位确认后进行封样并据此进行施工验收。</w:t>
      </w:r>
    </w:p>
    <w:p>
      <w:pPr>
        <w:pStyle w:val="7"/>
        <w:spacing w:line="360" w:lineRule="auto"/>
        <w:ind w:firstLine="627" w:firstLineChars="196"/>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3、设计人未指定的材料及设备，施工单位选用时除应符合国家现行产品标准外还应遵守：</w:t>
      </w:r>
    </w:p>
    <w:p>
      <w:pPr>
        <w:pStyle w:val="7"/>
        <w:spacing w:line="360" w:lineRule="auto"/>
        <w:ind w:firstLine="627" w:firstLineChars="196"/>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（1）优先使用可重复使用、可循环使用、可再生使用的产品及材料；</w:t>
      </w:r>
    </w:p>
    <w:p>
      <w:pPr>
        <w:pStyle w:val="7"/>
        <w:spacing w:line="360" w:lineRule="auto"/>
        <w:ind w:firstLine="627" w:firstLineChars="196"/>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（2）优先使用有先进节能、环保及改进室内空气质量技术的产品及材料；</w:t>
      </w:r>
    </w:p>
    <w:p>
      <w:pPr>
        <w:pStyle w:val="7"/>
        <w:spacing w:line="360" w:lineRule="auto"/>
        <w:ind w:firstLine="627" w:firstLineChars="196"/>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（3）严禁使用国家明令淘汰的产品及材料；</w:t>
      </w:r>
    </w:p>
    <w:p>
      <w:pPr>
        <w:pStyle w:val="7"/>
        <w:spacing w:line="360" w:lineRule="auto"/>
        <w:ind w:firstLine="627" w:firstLineChars="196"/>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（4）所有产品及材料需经设计方认可后方可进行安装。</w:t>
      </w:r>
    </w:p>
    <w:p>
      <w:pPr>
        <w:pStyle w:val="7"/>
        <w:spacing w:line="360" w:lineRule="auto"/>
        <w:ind w:firstLine="627" w:firstLineChars="196"/>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4、装饰装修所用的材料应按设计要求进行防火、防霉和防蛀及防潮处理。</w:t>
      </w:r>
    </w:p>
    <w:p>
      <w:pPr>
        <w:pStyle w:val="7"/>
        <w:spacing w:line="360" w:lineRule="auto"/>
        <w:ind w:firstLine="627" w:firstLineChars="196"/>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5、现场配制的材料应按设计要求或产品说明书制作。</w:t>
      </w:r>
    </w:p>
    <w:p>
      <w:pPr>
        <w:pStyle w:val="7"/>
        <w:spacing w:line="360" w:lineRule="auto"/>
        <w:ind w:firstLine="627" w:firstLineChars="196"/>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6、本工程内装饰材料的放射性指标限量和游离甲酸释放等指标见以下几点</w:t>
      </w:r>
    </w:p>
    <w:p>
      <w:pPr>
        <w:pStyle w:val="7"/>
        <w:spacing w:line="360" w:lineRule="auto"/>
        <w:ind w:firstLine="627" w:firstLineChars="196"/>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（1）无机非金属建筑材料(包括石材、建筑卫生陶瓷、石膏板、吊顶材料、无机瓷质砖粘接剂等）放射性指标限量：内照射指数（IRa）≤1.0;外照射指数（Ir）≤1.3。</w:t>
      </w:r>
    </w:p>
    <w:p>
      <w:pPr>
        <w:pStyle w:val="7"/>
        <w:spacing w:line="360" w:lineRule="auto"/>
        <w:ind w:firstLine="627" w:firstLineChars="196"/>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w:t>
      </w:r>
      <w:r>
        <w:rPr>
          <w:rFonts w:hint="eastAsia" w:ascii="楷体" w:hAnsi="楷体" w:eastAsia="楷体" w:cs="楷体"/>
          <w:color w:val="000000" w:themeColor="text1"/>
          <w:sz w:val="32"/>
          <w:szCs w:val="32"/>
          <w:lang w:val="en-US" w:eastAsia="zh-CN"/>
          <w14:textFill>
            <w14:solidFill>
              <w14:schemeClr w14:val="tx1"/>
            </w14:solidFill>
          </w14:textFill>
        </w:rPr>
        <w:t>2</w:t>
      </w:r>
      <w:r>
        <w:rPr>
          <w:rFonts w:hint="eastAsia" w:ascii="楷体" w:hAnsi="楷体" w:eastAsia="楷体" w:cs="楷体"/>
          <w:color w:val="000000" w:themeColor="text1"/>
          <w:sz w:val="32"/>
          <w:szCs w:val="32"/>
          <w14:textFill>
            <w14:solidFill>
              <w14:schemeClr w14:val="tx1"/>
            </w14:solidFill>
          </w14:textFill>
        </w:rPr>
        <w:t>）涂料：室内用水性涂料中挥发性有机化合物（VOCs）≤200 g/L,游离甲醛≤0.1 g/kg;b.室内用溶剂型涂料，应按其规定的最大稀释比例混合后，测定挥发性有机 化合物（VOCs）和笨的含量，如下表所示：</w:t>
      </w:r>
    </w:p>
    <w:tbl>
      <w:tblPr>
        <w:tblStyle w:val="1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40"/>
        <w:gridCol w:w="2841"/>
        <w:gridCol w:w="28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tcPr>
          <w:p>
            <w:pPr>
              <w:jc w:val="center"/>
              <w:rPr>
                <w:rFonts w:ascii="楷体" w:hAnsi="楷体" w:eastAsia="楷体" w:cs="楷体"/>
                <w:b/>
                <w:bCs/>
                <w:color w:val="000000" w:themeColor="text1"/>
                <w:sz w:val="32"/>
                <w:szCs w:val="32"/>
                <w14:textFill>
                  <w14:solidFill>
                    <w14:schemeClr w14:val="tx1"/>
                  </w14:solidFill>
                </w14:textFill>
              </w:rPr>
            </w:pPr>
            <w:r>
              <w:rPr>
                <w:rFonts w:hint="eastAsia" w:ascii="楷体" w:hAnsi="楷体" w:eastAsia="楷体" w:cs="楷体"/>
                <w:b/>
                <w:bCs/>
                <w:color w:val="000000" w:themeColor="text1"/>
                <w:sz w:val="32"/>
                <w:szCs w:val="32"/>
                <w14:textFill>
                  <w14:solidFill>
                    <w14:schemeClr w14:val="tx1"/>
                  </w14:solidFill>
                </w14:textFill>
              </w:rPr>
              <w:t>涂料名称</w:t>
            </w:r>
          </w:p>
        </w:tc>
        <w:tc>
          <w:tcPr>
            <w:tcW w:w="2841" w:type="dxa"/>
          </w:tcPr>
          <w:p>
            <w:pPr>
              <w:jc w:val="center"/>
              <w:rPr>
                <w:rFonts w:ascii="楷体" w:hAnsi="楷体" w:eastAsia="楷体" w:cs="楷体"/>
                <w:b/>
                <w:bCs/>
                <w:color w:val="000000" w:themeColor="text1"/>
                <w:sz w:val="32"/>
                <w:szCs w:val="32"/>
                <w14:textFill>
                  <w14:solidFill>
                    <w14:schemeClr w14:val="tx1"/>
                  </w14:solidFill>
                </w14:textFill>
              </w:rPr>
            </w:pPr>
            <w:r>
              <w:rPr>
                <w:rFonts w:hint="eastAsia" w:ascii="楷体" w:hAnsi="楷体" w:eastAsia="楷体" w:cs="楷体"/>
                <w:b/>
                <w:bCs/>
                <w:color w:val="000000" w:themeColor="text1"/>
                <w:sz w:val="32"/>
                <w:szCs w:val="32"/>
                <w14:textFill>
                  <w14:solidFill>
                    <w14:schemeClr w14:val="tx1"/>
                  </w14:solidFill>
                </w14:textFill>
              </w:rPr>
              <w:t>VOCs（g/L）</w:t>
            </w:r>
          </w:p>
        </w:tc>
        <w:tc>
          <w:tcPr>
            <w:tcW w:w="2841" w:type="dxa"/>
          </w:tcPr>
          <w:p>
            <w:pPr>
              <w:jc w:val="center"/>
              <w:rPr>
                <w:rFonts w:ascii="楷体" w:hAnsi="楷体" w:eastAsia="楷体" w:cs="楷体"/>
                <w:b/>
                <w:bCs/>
                <w:color w:val="000000" w:themeColor="text1"/>
                <w:sz w:val="32"/>
                <w:szCs w:val="32"/>
                <w14:textFill>
                  <w14:solidFill>
                    <w14:schemeClr w14:val="tx1"/>
                  </w14:solidFill>
                </w14:textFill>
              </w:rPr>
            </w:pPr>
            <w:r>
              <w:rPr>
                <w:rFonts w:hint="eastAsia" w:ascii="楷体" w:hAnsi="楷体" w:eastAsia="楷体" w:cs="楷体"/>
                <w:b/>
                <w:bCs/>
                <w:color w:val="000000" w:themeColor="text1"/>
                <w:sz w:val="32"/>
                <w:szCs w:val="32"/>
                <w14:textFill>
                  <w14:solidFill>
                    <w14:schemeClr w14:val="tx1"/>
                  </w14:solidFill>
                </w14:textFill>
              </w:rPr>
              <w:t>笨（k/kg）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tcPr>
          <w:p>
            <w:pPr>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醇酸涂料</w:t>
            </w:r>
          </w:p>
        </w:tc>
        <w:tc>
          <w:tcPr>
            <w:tcW w:w="2841" w:type="dxa"/>
          </w:tcPr>
          <w:p>
            <w:pPr>
              <w:jc w:val="center"/>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≦550</w:t>
            </w:r>
          </w:p>
        </w:tc>
        <w:tc>
          <w:tcPr>
            <w:tcW w:w="2841" w:type="dxa"/>
          </w:tcPr>
          <w:p>
            <w:pPr>
              <w:jc w:val="center"/>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tcPr>
          <w:p>
            <w:pPr>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硝基清徐料</w:t>
            </w:r>
          </w:p>
        </w:tc>
        <w:tc>
          <w:tcPr>
            <w:tcW w:w="2841" w:type="dxa"/>
          </w:tcPr>
          <w:p>
            <w:pPr>
              <w:jc w:val="center"/>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≦750</w:t>
            </w:r>
          </w:p>
        </w:tc>
        <w:tc>
          <w:tcPr>
            <w:tcW w:w="2841" w:type="dxa"/>
          </w:tcPr>
          <w:p>
            <w:pPr>
              <w:jc w:val="center"/>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tcPr>
          <w:p>
            <w:pPr>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聚氨酯涂料</w:t>
            </w:r>
          </w:p>
        </w:tc>
        <w:tc>
          <w:tcPr>
            <w:tcW w:w="2841" w:type="dxa"/>
          </w:tcPr>
          <w:p>
            <w:pPr>
              <w:jc w:val="center"/>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≦700</w:t>
            </w:r>
          </w:p>
        </w:tc>
        <w:tc>
          <w:tcPr>
            <w:tcW w:w="2841" w:type="dxa"/>
          </w:tcPr>
          <w:p>
            <w:pPr>
              <w:jc w:val="center"/>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tcPr>
          <w:p>
            <w:pPr>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氨酯涂料</w:t>
            </w:r>
          </w:p>
        </w:tc>
        <w:tc>
          <w:tcPr>
            <w:tcW w:w="2841" w:type="dxa"/>
          </w:tcPr>
          <w:p>
            <w:pPr>
              <w:jc w:val="center"/>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≦500</w:t>
            </w:r>
          </w:p>
        </w:tc>
        <w:tc>
          <w:tcPr>
            <w:tcW w:w="2841" w:type="dxa"/>
          </w:tcPr>
          <w:p>
            <w:pPr>
              <w:jc w:val="center"/>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tcPr>
          <w:p>
            <w:pPr>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酚醛磁涂料</w:t>
            </w:r>
          </w:p>
        </w:tc>
        <w:tc>
          <w:tcPr>
            <w:tcW w:w="2841" w:type="dxa"/>
          </w:tcPr>
          <w:p>
            <w:pPr>
              <w:jc w:val="center"/>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≦380</w:t>
            </w:r>
          </w:p>
        </w:tc>
        <w:tc>
          <w:tcPr>
            <w:tcW w:w="2841" w:type="dxa"/>
          </w:tcPr>
          <w:p>
            <w:pPr>
              <w:jc w:val="center"/>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tcPr>
          <w:p>
            <w:pPr>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酚醛防锈涂料</w:t>
            </w:r>
          </w:p>
        </w:tc>
        <w:tc>
          <w:tcPr>
            <w:tcW w:w="2841" w:type="dxa"/>
          </w:tcPr>
          <w:p>
            <w:pPr>
              <w:jc w:val="center"/>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≦270</w:t>
            </w:r>
          </w:p>
        </w:tc>
        <w:tc>
          <w:tcPr>
            <w:tcW w:w="2841" w:type="dxa"/>
          </w:tcPr>
          <w:p>
            <w:pPr>
              <w:jc w:val="center"/>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tcPr>
          <w:p>
            <w:pPr>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其他溶剂型涂料</w:t>
            </w:r>
          </w:p>
        </w:tc>
        <w:tc>
          <w:tcPr>
            <w:tcW w:w="2841" w:type="dxa"/>
          </w:tcPr>
          <w:p>
            <w:pPr>
              <w:jc w:val="center"/>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≦600</w:t>
            </w:r>
          </w:p>
        </w:tc>
        <w:tc>
          <w:tcPr>
            <w:tcW w:w="2841" w:type="dxa"/>
          </w:tcPr>
          <w:p>
            <w:pPr>
              <w:jc w:val="center"/>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≦5</w:t>
            </w:r>
          </w:p>
        </w:tc>
      </w:tr>
    </w:tbl>
    <w:p>
      <w:pPr>
        <w:pStyle w:val="7"/>
        <w:spacing w:line="360" w:lineRule="auto"/>
        <w:ind w:firstLine="627" w:firstLineChars="196"/>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w:t>
      </w:r>
      <w:r>
        <w:rPr>
          <w:rFonts w:hint="eastAsia" w:ascii="楷体" w:hAnsi="楷体" w:eastAsia="楷体" w:cs="楷体"/>
          <w:color w:val="000000" w:themeColor="text1"/>
          <w:sz w:val="32"/>
          <w:szCs w:val="32"/>
          <w:lang w:val="en-US" w:eastAsia="zh-CN"/>
          <w14:textFill>
            <w14:solidFill>
              <w14:schemeClr w14:val="tx1"/>
            </w14:solidFill>
          </w14:textFill>
        </w:rPr>
        <w:t>3</w:t>
      </w:r>
      <w:r>
        <w:rPr>
          <w:rFonts w:hint="eastAsia" w:ascii="楷体" w:hAnsi="楷体" w:eastAsia="楷体" w:cs="楷体"/>
          <w:color w:val="000000" w:themeColor="text1"/>
          <w:sz w:val="32"/>
          <w:szCs w:val="32"/>
          <w14:textFill>
            <w14:solidFill>
              <w14:schemeClr w14:val="tx1"/>
            </w14:solidFill>
          </w14:textFill>
        </w:rPr>
        <w:t>）水性处理剂（包括水性阻燃剂及防火涂料、防水剂、防腐剂等）：室内用水性处理剂中总挥发性有机化合物（VOCs）≤200 g/L,游离甲醛≤0.5 g/kg。</w:t>
      </w:r>
    </w:p>
    <w:p>
      <w:pPr>
        <w:pStyle w:val="7"/>
        <w:spacing w:line="360" w:lineRule="auto"/>
        <w:rPr>
          <w:rFonts w:ascii="楷体" w:hAnsi="楷体" w:eastAsia="楷体" w:cs="楷体"/>
          <w:b/>
          <w:bCs/>
          <w:color w:val="000000" w:themeColor="text1"/>
          <w:sz w:val="32"/>
          <w:szCs w:val="32"/>
          <w14:textFill>
            <w14:solidFill>
              <w14:schemeClr w14:val="tx1"/>
            </w14:solidFill>
          </w14:textFill>
        </w:rPr>
      </w:pPr>
      <w:r>
        <w:rPr>
          <w:rFonts w:hint="eastAsia" w:ascii="楷体" w:hAnsi="楷体" w:eastAsia="楷体" w:cs="楷体"/>
          <w:b/>
          <w:bCs/>
          <w:color w:val="000000" w:themeColor="text1"/>
          <w:sz w:val="32"/>
          <w:szCs w:val="32"/>
          <w14:textFill>
            <w14:solidFill>
              <w14:schemeClr w14:val="tx1"/>
            </w14:solidFill>
          </w14:textFill>
        </w:rPr>
        <w:t xml:space="preserve">（二）防火设计 </w:t>
      </w:r>
    </w:p>
    <w:p>
      <w:pPr>
        <w:pStyle w:val="7"/>
        <w:spacing w:line="360" w:lineRule="auto"/>
        <w:ind w:firstLine="627" w:firstLineChars="196"/>
        <w:rPr>
          <w:rFonts w:ascii="楷体" w:hAnsi="楷体" w:eastAsia="楷体" w:cs="楷体"/>
          <w:color w:val="000000" w:themeColor="text1"/>
          <w:sz w:val="32"/>
          <w:szCs w:val="32"/>
          <w14:textFill>
            <w14:solidFill>
              <w14:schemeClr w14:val="tx1"/>
            </w14:solidFill>
          </w14:textFill>
        </w:rPr>
      </w:pPr>
      <w:bookmarkStart w:id="31" w:name="_GoBack"/>
      <w:bookmarkEnd w:id="31"/>
      <w:r>
        <w:rPr>
          <w:rFonts w:hint="eastAsia" w:ascii="楷体" w:hAnsi="楷体" w:eastAsia="楷体" w:cs="楷体"/>
          <w:color w:val="000000" w:themeColor="text1"/>
          <w:sz w:val="32"/>
          <w:szCs w:val="32"/>
          <w14:textFill>
            <w14:solidFill>
              <w14:schemeClr w14:val="tx1"/>
            </w14:solidFill>
          </w14:textFill>
        </w:rPr>
        <w:t xml:space="preserve">设计原则及设计依据 </w:t>
      </w:r>
    </w:p>
    <w:p>
      <w:pPr>
        <w:pStyle w:val="7"/>
        <w:spacing w:line="360" w:lineRule="auto"/>
        <w:ind w:firstLine="640" w:firstLineChars="200"/>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（1）本工程设计遵循原土建设计的防火分区、防烟分区、人员疏散等各项防火措施。</w:t>
      </w:r>
    </w:p>
    <w:p>
      <w:pPr>
        <w:pStyle w:val="7"/>
        <w:spacing w:line="360" w:lineRule="auto"/>
        <w:ind w:firstLine="640" w:firstLineChars="200"/>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（2）本工程执行现行国家标准《建筑设计防火规范》GB 5006-2014(2018年版)和《建筑内部装饰设计防火规范》GB 50222-95(本次设计未改动)中对装修材料的燃烧性能等级要求的相关规定。</w:t>
      </w:r>
    </w:p>
    <w:p>
      <w:pPr>
        <w:pStyle w:val="7"/>
        <w:spacing w:line="360" w:lineRule="auto"/>
        <w:ind w:firstLine="640" w:firstLineChars="200"/>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w:t>
      </w:r>
      <w:r>
        <w:rPr>
          <w:rFonts w:hint="eastAsia" w:ascii="楷体" w:hAnsi="楷体" w:eastAsia="楷体" w:cs="楷体"/>
          <w:color w:val="000000" w:themeColor="text1"/>
          <w:sz w:val="32"/>
          <w:szCs w:val="32"/>
          <w:lang w:val="en-US" w:eastAsia="zh-CN"/>
          <w14:textFill>
            <w14:solidFill>
              <w14:schemeClr w14:val="tx1"/>
            </w14:solidFill>
          </w14:textFill>
        </w:rPr>
        <w:t>3</w:t>
      </w:r>
      <w:r>
        <w:rPr>
          <w:rFonts w:hint="eastAsia" w:ascii="楷体" w:hAnsi="楷体" w:eastAsia="楷体" w:cs="楷体"/>
          <w:color w:val="000000" w:themeColor="text1"/>
          <w:sz w:val="32"/>
          <w:szCs w:val="32"/>
          <w14:textFill>
            <w14:solidFill>
              <w14:schemeClr w14:val="tx1"/>
            </w14:solidFill>
          </w14:textFill>
        </w:rPr>
        <w:t>）装修材料达不到燃烧性能等级时，通过阻燃处理，提高材料燃烧性能等级，使之达到防火要求。</w:t>
      </w:r>
    </w:p>
    <w:p>
      <w:pPr>
        <w:pStyle w:val="7"/>
        <w:spacing w:line="360" w:lineRule="auto"/>
        <w:ind w:firstLine="640" w:firstLineChars="200"/>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fldChar w:fldCharType="begin"/>
      </w:r>
      <w:r>
        <w:rPr>
          <w:rFonts w:hint="eastAsia" w:ascii="楷体" w:hAnsi="楷体" w:eastAsia="楷体" w:cs="楷体"/>
          <w:color w:val="000000" w:themeColor="text1"/>
          <w:sz w:val="32"/>
          <w:szCs w:val="32"/>
          <w14:textFill>
            <w14:solidFill>
              <w14:schemeClr w14:val="tx1"/>
            </w14:solidFill>
          </w14:textFill>
        </w:rPr>
        <w:instrText xml:space="preserve"> = 1 \* GB3 </w:instrText>
      </w:r>
      <w:r>
        <w:rPr>
          <w:rFonts w:hint="eastAsia" w:ascii="楷体" w:hAnsi="楷体" w:eastAsia="楷体" w:cs="楷体"/>
          <w:color w:val="000000" w:themeColor="text1"/>
          <w:sz w:val="32"/>
          <w:szCs w:val="32"/>
          <w14:textFill>
            <w14:solidFill>
              <w14:schemeClr w14:val="tx1"/>
            </w14:solidFill>
          </w14:textFill>
        </w:rPr>
        <w:fldChar w:fldCharType="separate"/>
      </w:r>
      <w:r>
        <w:rPr>
          <w:rFonts w:hint="eastAsia" w:ascii="楷体" w:hAnsi="楷体" w:eastAsia="楷体" w:cs="楷体"/>
          <w:color w:val="000000" w:themeColor="text1"/>
          <w:sz w:val="32"/>
          <w:szCs w:val="32"/>
          <w14:textFill>
            <w14:solidFill>
              <w14:schemeClr w14:val="tx1"/>
            </w14:solidFill>
          </w14:textFill>
        </w:rPr>
        <w:t>①</w:t>
      </w:r>
      <w:r>
        <w:rPr>
          <w:rFonts w:hint="eastAsia" w:ascii="楷体" w:hAnsi="楷体" w:eastAsia="楷体" w:cs="楷体"/>
          <w:color w:val="000000" w:themeColor="text1"/>
          <w:sz w:val="32"/>
          <w:szCs w:val="32"/>
          <w14:textFill>
            <w14:solidFill>
              <w14:schemeClr w14:val="tx1"/>
            </w14:solidFill>
          </w14:textFill>
        </w:rPr>
        <w:fldChar w:fldCharType="end"/>
      </w:r>
      <w:r>
        <w:rPr>
          <w:rFonts w:hint="eastAsia" w:ascii="楷体" w:hAnsi="楷体" w:eastAsia="楷体" w:cs="楷体"/>
          <w:color w:val="000000" w:themeColor="text1"/>
          <w:sz w:val="32"/>
          <w:szCs w:val="32"/>
          <w14:textFill>
            <w14:solidFill>
              <w14:schemeClr w14:val="tx1"/>
            </w14:solidFill>
          </w14:textFill>
        </w:rPr>
        <w:t>对木质装修材料进行防火涂料涂布前应对其表面进行清洁。涂布至少分两次进行，且第二次涂布应在第一次涂布涂层表干后进行，涂布量应不小于600g/m²。</w:t>
      </w:r>
    </w:p>
    <w:p>
      <w:pPr>
        <w:pStyle w:val="7"/>
        <w:spacing w:line="360" w:lineRule="auto"/>
        <w:ind w:firstLine="640" w:firstLineChars="200"/>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w:t>
      </w:r>
      <w:r>
        <w:rPr>
          <w:rFonts w:hint="eastAsia" w:ascii="楷体" w:hAnsi="楷体" w:eastAsia="楷体" w:cs="楷体"/>
          <w:color w:val="000000" w:themeColor="text1"/>
          <w:sz w:val="32"/>
          <w:szCs w:val="32"/>
          <w:lang w:val="en-US" w:eastAsia="zh-CN"/>
          <w14:textFill>
            <w14:solidFill>
              <w14:schemeClr w14:val="tx1"/>
            </w14:solidFill>
          </w14:textFill>
        </w:rPr>
        <w:t>4</w:t>
      </w:r>
      <w:r>
        <w:rPr>
          <w:rFonts w:hint="eastAsia" w:ascii="楷体" w:hAnsi="楷体" w:eastAsia="楷体" w:cs="楷体"/>
          <w:color w:val="000000" w:themeColor="text1"/>
          <w:sz w:val="32"/>
          <w:szCs w:val="32"/>
          <w14:textFill>
            <w14:solidFill>
              <w14:schemeClr w14:val="tx1"/>
            </w14:solidFill>
          </w14:textFill>
        </w:rPr>
        <w:t>）装修施工注意事项</w:t>
      </w:r>
    </w:p>
    <w:p>
      <w:pPr>
        <w:pStyle w:val="7"/>
        <w:spacing w:line="360" w:lineRule="auto"/>
        <w:ind w:firstLine="640" w:firstLineChars="200"/>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fldChar w:fldCharType="begin"/>
      </w:r>
      <w:r>
        <w:rPr>
          <w:rFonts w:hint="eastAsia" w:ascii="楷体" w:hAnsi="楷体" w:eastAsia="楷体" w:cs="楷体"/>
          <w:color w:val="000000" w:themeColor="text1"/>
          <w:sz w:val="32"/>
          <w:szCs w:val="32"/>
          <w14:textFill>
            <w14:solidFill>
              <w14:schemeClr w14:val="tx1"/>
            </w14:solidFill>
          </w14:textFill>
        </w:rPr>
        <w:instrText xml:space="preserve"> = 1 \* GB3 </w:instrText>
      </w:r>
      <w:r>
        <w:rPr>
          <w:rFonts w:hint="eastAsia" w:ascii="楷体" w:hAnsi="楷体" w:eastAsia="楷体" w:cs="楷体"/>
          <w:color w:val="000000" w:themeColor="text1"/>
          <w:sz w:val="32"/>
          <w:szCs w:val="32"/>
          <w14:textFill>
            <w14:solidFill>
              <w14:schemeClr w14:val="tx1"/>
            </w14:solidFill>
          </w14:textFill>
        </w:rPr>
        <w:fldChar w:fldCharType="separate"/>
      </w:r>
      <w:r>
        <w:rPr>
          <w:rFonts w:hint="eastAsia" w:ascii="楷体" w:hAnsi="楷体" w:eastAsia="楷体" w:cs="楷体"/>
          <w:color w:val="000000" w:themeColor="text1"/>
          <w:sz w:val="32"/>
          <w:szCs w:val="32"/>
          <w14:textFill>
            <w14:solidFill>
              <w14:schemeClr w14:val="tx1"/>
            </w14:solidFill>
          </w14:textFill>
        </w:rPr>
        <w:t>①</w:t>
      </w:r>
      <w:r>
        <w:rPr>
          <w:rFonts w:hint="eastAsia" w:ascii="楷体" w:hAnsi="楷体" w:eastAsia="楷体" w:cs="楷体"/>
          <w:color w:val="000000" w:themeColor="text1"/>
          <w:sz w:val="32"/>
          <w:szCs w:val="32"/>
          <w14:textFill>
            <w14:solidFill>
              <w14:schemeClr w14:val="tx1"/>
            </w14:solidFill>
          </w14:textFill>
        </w:rPr>
        <w:fldChar w:fldCharType="end"/>
      </w:r>
      <w:r>
        <w:rPr>
          <w:rFonts w:hint="eastAsia" w:ascii="楷体" w:hAnsi="楷体" w:eastAsia="楷体" w:cs="楷体"/>
          <w:color w:val="000000" w:themeColor="text1"/>
          <w:sz w:val="32"/>
          <w:szCs w:val="32"/>
          <w14:textFill>
            <w14:solidFill>
              <w14:schemeClr w14:val="tx1"/>
            </w14:solidFill>
          </w14:textFill>
        </w:rPr>
        <w:t>施工应符合《建筑内部装修防火施工及验收规范》GB 50354-2005的规定；</w:t>
      </w:r>
    </w:p>
    <w:p>
      <w:pPr>
        <w:pStyle w:val="7"/>
        <w:spacing w:line="360" w:lineRule="auto"/>
        <w:ind w:firstLine="640" w:firstLineChars="200"/>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fldChar w:fldCharType="begin"/>
      </w:r>
      <w:r>
        <w:rPr>
          <w:rFonts w:hint="eastAsia" w:ascii="楷体" w:hAnsi="楷体" w:eastAsia="楷体" w:cs="楷体"/>
          <w:color w:val="000000" w:themeColor="text1"/>
          <w:sz w:val="32"/>
          <w:szCs w:val="32"/>
          <w14:textFill>
            <w14:solidFill>
              <w14:schemeClr w14:val="tx1"/>
            </w14:solidFill>
          </w14:textFill>
        </w:rPr>
        <w:instrText xml:space="preserve"> = 2 \* GB3 </w:instrText>
      </w:r>
      <w:r>
        <w:rPr>
          <w:rFonts w:hint="eastAsia" w:ascii="楷体" w:hAnsi="楷体" w:eastAsia="楷体" w:cs="楷体"/>
          <w:color w:val="000000" w:themeColor="text1"/>
          <w:sz w:val="32"/>
          <w:szCs w:val="32"/>
          <w14:textFill>
            <w14:solidFill>
              <w14:schemeClr w14:val="tx1"/>
            </w14:solidFill>
          </w14:textFill>
        </w:rPr>
        <w:fldChar w:fldCharType="separate"/>
      </w:r>
      <w:r>
        <w:rPr>
          <w:rFonts w:hint="eastAsia" w:ascii="楷体" w:hAnsi="楷体" w:eastAsia="楷体" w:cs="楷体"/>
          <w:color w:val="000000" w:themeColor="text1"/>
          <w:sz w:val="32"/>
          <w:szCs w:val="32"/>
          <w14:textFill>
            <w14:solidFill>
              <w14:schemeClr w14:val="tx1"/>
            </w14:solidFill>
          </w14:textFill>
        </w:rPr>
        <w:t>②</w:t>
      </w:r>
      <w:r>
        <w:rPr>
          <w:rFonts w:hint="eastAsia" w:ascii="楷体" w:hAnsi="楷体" w:eastAsia="楷体" w:cs="楷体"/>
          <w:color w:val="000000" w:themeColor="text1"/>
          <w:sz w:val="32"/>
          <w:szCs w:val="32"/>
          <w14:textFill>
            <w14:solidFill>
              <w14:schemeClr w14:val="tx1"/>
            </w14:solidFill>
          </w14:textFill>
        </w:rPr>
        <w:fldChar w:fldCharType="end"/>
      </w:r>
      <w:r>
        <w:rPr>
          <w:rFonts w:hint="eastAsia" w:ascii="楷体" w:hAnsi="楷体" w:eastAsia="楷体" w:cs="楷体"/>
          <w:color w:val="000000" w:themeColor="text1"/>
          <w:sz w:val="32"/>
          <w:szCs w:val="32"/>
          <w14:textFill>
            <w14:solidFill>
              <w14:schemeClr w14:val="tx1"/>
            </w14:solidFill>
          </w14:textFill>
        </w:rPr>
        <w:t>对进入施工现场具有防火设计要求的装修材料应核查其燃烧性能或耐火极限、防火性能检验报告、合格证等技术文件并填写进场验收记录；</w:t>
      </w:r>
    </w:p>
    <w:p>
      <w:pPr>
        <w:pStyle w:val="7"/>
        <w:spacing w:line="360" w:lineRule="auto"/>
        <w:ind w:firstLine="640" w:firstLineChars="200"/>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fldChar w:fldCharType="begin"/>
      </w:r>
      <w:r>
        <w:rPr>
          <w:rFonts w:hint="eastAsia" w:ascii="楷体" w:hAnsi="楷体" w:eastAsia="楷体" w:cs="楷体"/>
          <w:color w:val="000000" w:themeColor="text1"/>
          <w:sz w:val="32"/>
          <w:szCs w:val="32"/>
          <w14:textFill>
            <w14:solidFill>
              <w14:schemeClr w14:val="tx1"/>
            </w14:solidFill>
          </w14:textFill>
        </w:rPr>
        <w:instrText xml:space="preserve"> = 3 \* GB3 </w:instrText>
      </w:r>
      <w:r>
        <w:rPr>
          <w:rFonts w:hint="eastAsia" w:ascii="楷体" w:hAnsi="楷体" w:eastAsia="楷体" w:cs="楷体"/>
          <w:color w:val="000000" w:themeColor="text1"/>
          <w:sz w:val="32"/>
          <w:szCs w:val="32"/>
          <w14:textFill>
            <w14:solidFill>
              <w14:schemeClr w14:val="tx1"/>
            </w14:solidFill>
          </w14:textFill>
        </w:rPr>
        <w:fldChar w:fldCharType="separate"/>
      </w:r>
      <w:r>
        <w:rPr>
          <w:rFonts w:hint="eastAsia" w:ascii="楷体" w:hAnsi="楷体" w:eastAsia="楷体" w:cs="楷体"/>
          <w:color w:val="000000" w:themeColor="text1"/>
          <w:sz w:val="32"/>
          <w:szCs w:val="32"/>
          <w14:textFill>
            <w14:solidFill>
              <w14:schemeClr w14:val="tx1"/>
            </w14:solidFill>
          </w14:textFill>
        </w:rPr>
        <w:t>③</w:t>
      </w:r>
      <w:r>
        <w:rPr>
          <w:rFonts w:hint="eastAsia" w:ascii="楷体" w:hAnsi="楷体" w:eastAsia="楷体" w:cs="楷体"/>
          <w:color w:val="000000" w:themeColor="text1"/>
          <w:sz w:val="32"/>
          <w:szCs w:val="32"/>
          <w14:textFill>
            <w14:solidFill>
              <w14:schemeClr w14:val="tx1"/>
            </w14:solidFill>
          </w14:textFill>
        </w:rPr>
        <w:fldChar w:fldCharType="end"/>
      </w:r>
      <w:r>
        <w:rPr>
          <w:rFonts w:hint="eastAsia" w:ascii="楷体" w:hAnsi="楷体" w:eastAsia="楷体" w:cs="楷体"/>
          <w:color w:val="000000" w:themeColor="text1"/>
          <w:sz w:val="32"/>
          <w:szCs w:val="32"/>
          <w14:textFill>
            <w14:solidFill>
              <w14:schemeClr w14:val="tx1"/>
            </w14:solidFill>
          </w14:textFill>
        </w:rPr>
        <w:t>每层保证通向疏散楼梯的交通畅通，在安全出口处及疏散楼梯处均设有疏散指示灯及明显标志</w:t>
      </w:r>
      <w:r>
        <w:rPr>
          <w:rFonts w:hint="eastAsia" w:ascii="楷体" w:hAnsi="楷体" w:eastAsia="楷体" w:cs="楷体"/>
          <w:color w:val="000000" w:themeColor="text1"/>
          <w:sz w:val="32"/>
          <w:szCs w:val="32"/>
          <w:lang w:val="en-US" w:eastAsia="zh-CN"/>
          <w14:textFill>
            <w14:solidFill>
              <w14:schemeClr w14:val="tx1"/>
            </w14:solidFill>
          </w14:textFill>
        </w:rPr>
        <w:t>,</w:t>
      </w:r>
      <w:r>
        <w:rPr>
          <w:rFonts w:hint="eastAsia" w:ascii="楷体" w:hAnsi="楷体" w:eastAsia="楷体" w:cs="楷体"/>
          <w:color w:val="000000" w:themeColor="text1"/>
          <w:sz w:val="32"/>
          <w:szCs w:val="32"/>
          <w14:textFill>
            <w14:solidFill>
              <w14:schemeClr w14:val="tx1"/>
            </w14:solidFill>
          </w14:textFill>
        </w:rPr>
        <w:t>内装修不应防碍消防和疏散走道的正常使用；</w:t>
      </w:r>
    </w:p>
    <w:p>
      <w:pPr>
        <w:pStyle w:val="7"/>
        <w:spacing w:line="360" w:lineRule="auto"/>
        <w:ind w:firstLine="640" w:firstLineChars="200"/>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fldChar w:fldCharType="begin"/>
      </w:r>
      <w:r>
        <w:rPr>
          <w:rFonts w:hint="eastAsia" w:ascii="楷体" w:hAnsi="楷体" w:eastAsia="楷体" w:cs="楷体"/>
          <w:color w:val="000000" w:themeColor="text1"/>
          <w:sz w:val="32"/>
          <w:szCs w:val="32"/>
          <w14:textFill>
            <w14:solidFill>
              <w14:schemeClr w14:val="tx1"/>
            </w14:solidFill>
          </w14:textFill>
        </w:rPr>
        <w:instrText xml:space="preserve"> = 4 \* GB3 </w:instrText>
      </w:r>
      <w:r>
        <w:rPr>
          <w:rFonts w:hint="eastAsia" w:ascii="楷体" w:hAnsi="楷体" w:eastAsia="楷体" w:cs="楷体"/>
          <w:color w:val="000000" w:themeColor="text1"/>
          <w:sz w:val="32"/>
          <w:szCs w:val="32"/>
          <w14:textFill>
            <w14:solidFill>
              <w14:schemeClr w14:val="tx1"/>
            </w14:solidFill>
          </w14:textFill>
        </w:rPr>
        <w:fldChar w:fldCharType="separate"/>
      </w:r>
      <w:r>
        <w:rPr>
          <w:rFonts w:hint="eastAsia" w:ascii="楷体" w:hAnsi="楷体" w:eastAsia="楷体" w:cs="楷体"/>
          <w:color w:val="000000" w:themeColor="text1"/>
          <w:sz w:val="32"/>
          <w:szCs w:val="32"/>
          <w14:textFill>
            <w14:solidFill>
              <w14:schemeClr w14:val="tx1"/>
            </w14:solidFill>
          </w14:textFill>
        </w:rPr>
        <w:t>④</w:t>
      </w:r>
      <w:r>
        <w:rPr>
          <w:rFonts w:hint="eastAsia" w:ascii="楷体" w:hAnsi="楷体" w:eastAsia="楷体" w:cs="楷体"/>
          <w:color w:val="000000" w:themeColor="text1"/>
          <w:sz w:val="32"/>
          <w:szCs w:val="32"/>
          <w14:textFill>
            <w14:solidFill>
              <w14:schemeClr w14:val="tx1"/>
            </w14:solidFill>
          </w14:textFill>
        </w:rPr>
        <w:fldChar w:fldCharType="end"/>
      </w:r>
      <w:r>
        <w:rPr>
          <w:rFonts w:hint="eastAsia" w:ascii="楷体" w:hAnsi="楷体" w:eastAsia="楷体" w:cs="楷体"/>
          <w:color w:val="000000" w:themeColor="text1"/>
          <w:sz w:val="32"/>
          <w:szCs w:val="32"/>
          <w14:textFill>
            <w14:solidFill>
              <w14:schemeClr w14:val="tx1"/>
            </w14:solidFill>
          </w14:textFill>
        </w:rPr>
        <w:t>建筑内部消火栓不应被装饰物遮蔽，消火栓门上的标志图形应规范，颜色应鲜明醒目；</w:t>
      </w:r>
    </w:p>
    <w:p>
      <w:pPr>
        <w:pStyle w:val="7"/>
        <w:spacing w:line="360" w:lineRule="auto"/>
        <w:ind w:firstLine="640" w:firstLineChars="200"/>
        <w:rPr>
          <w:rFonts w:hint="eastAsia" w:ascii="楷体" w:hAnsi="楷体" w:eastAsia="楷体" w:cs="楷体"/>
          <w:color w:val="000000" w:themeColor="text1"/>
          <w:sz w:val="32"/>
          <w:szCs w:val="32"/>
          <w:lang w:eastAsia="zh-CN"/>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fldChar w:fldCharType="begin"/>
      </w:r>
      <w:r>
        <w:rPr>
          <w:rFonts w:hint="eastAsia" w:ascii="楷体" w:hAnsi="楷体" w:eastAsia="楷体" w:cs="楷体"/>
          <w:color w:val="000000" w:themeColor="text1"/>
          <w:sz w:val="32"/>
          <w:szCs w:val="32"/>
          <w14:textFill>
            <w14:solidFill>
              <w14:schemeClr w14:val="tx1"/>
            </w14:solidFill>
          </w14:textFill>
        </w:rPr>
        <w:instrText xml:space="preserve"> = 5 \* GB3 </w:instrText>
      </w:r>
      <w:r>
        <w:rPr>
          <w:rFonts w:hint="eastAsia" w:ascii="楷体" w:hAnsi="楷体" w:eastAsia="楷体" w:cs="楷体"/>
          <w:color w:val="000000" w:themeColor="text1"/>
          <w:sz w:val="32"/>
          <w:szCs w:val="32"/>
          <w14:textFill>
            <w14:solidFill>
              <w14:schemeClr w14:val="tx1"/>
            </w14:solidFill>
          </w14:textFill>
        </w:rPr>
        <w:fldChar w:fldCharType="separate"/>
      </w:r>
      <w:r>
        <w:rPr>
          <w:rFonts w:hint="eastAsia" w:ascii="楷体" w:hAnsi="楷体" w:eastAsia="楷体" w:cs="楷体"/>
          <w:color w:val="000000" w:themeColor="text1"/>
          <w:sz w:val="32"/>
          <w:szCs w:val="32"/>
          <w14:textFill>
            <w14:solidFill>
              <w14:schemeClr w14:val="tx1"/>
            </w14:solidFill>
          </w14:textFill>
        </w:rPr>
        <w:t>⑤</w:t>
      </w:r>
      <w:r>
        <w:rPr>
          <w:rFonts w:hint="eastAsia" w:ascii="楷体" w:hAnsi="楷体" w:eastAsia="楷体" w:cs="楷体"/>
          <w:color w:val="000000" w:themeColor="text1"/>
          <w:sz w:val="32"/>
          <w:szCs w:val="32"/>
          <w14:textFill>
            <w14:solidFill>
              <w14:schemeClr w14:val="tx1"/>
            </w14:solidFill>
          </w14:textFill>
        </w:rPr>
        <w:fldChar w:fldCharType="end"/>
      </w:r>
      <w:r>
        <w:rPr>
          <w:rFonts w:hint="eastAsia" w:ascii="楷体" w:hAnsi="楷体" w:eastAsia="楷体" w:cs="楷体"/>
          <w:color w:val="000000" w:themeColor="text1"/>
          <w:sz w:val="32"/>
          <w:szCs w:val="32"/>
          <w14:textFill>
            <w14:solidFill>
              <w14:schemeClr w14:val="tx1"/>
            </w14:solidFill>
          </w14:textFill>
        </w:rPr>
        <w:t>当照明灯具的高温部位靠近木材制品或其他非A级材料时，应采取隔热、散热等防火保护措施</w:t>
      </w:r>
      <w:r>
        <w:rPr>
          <w:rFonts w:hint="eastAsia" w:ascii="楷体" w:hAnsi="楷体" w:eastAsia="楷体" w:cs="楷体"/>
          <w:color w:val="000000" w:themeColor="text1"/>
          <w:sz w:val="32"/>
          <w:szCs w:val="32"/>
          <w:lang w:val="en-US" w:eastAsia="zh-CN"/>
          <w14:textFill>
            <w14:solidFill>
              <w14:schemeClr w14:val="tx1"/>
            </w14:solidFill>
          </w14:textFill>
        </w:rPr>
        <w:t>,</w:t>
      </w:r>
      <w:r>
        <w:rPr>
          <w:rFonts w:hint="eastAsia" w:ascii="楷体" w:hAnsi="楷体" w:eastAsia="楷体" w:cs="楷体"/>
          <w:color w:val="000000" w:themeColor="text1"/>
          <w:sz w:val="32"/>
          <w:szCs w:val="32"/>
          <w14:textFill>
            <w14:solidFill>
              <w14:schemeClr w14:val="tx1"/>
            </w14:solidFill>
          </w14:textFill>
        </w:rPr>
        <w:t>灯饰使用材料的燃烧性能不应低于B1级</w:t>
      </w:r>
      <w:r>
        <w:rPr>
          <w:rFonts w:hint="eastAsia" w:ascii="楷体" w:hAnsi="楷体" w:eastAsia="楷体" w:cs="楷体"/>
          <w:color w:val="000000" w:themeColor="text1"/>
          <w:sz w:val="32"/>
          <w:szCs w:val="32"/>
          <w:lang w:eastAsia="zh-CN"/>
          <w14:textFill>
            <w14:solidFill>
              <w14:schemeClr w14:val="tx1"/>
            </w14:solidFill>
          </w14:textFill>
        </w:rPr>
        <w:t>；</w:t>
      </w:r>
    </w:p>
    <w:p>
      <w:pPr>
        <w:pStyle w:val="7"/>
        <w:spacing w:line="360" w:lineRule="auto"/>
        <w:rPr>
          <w:rFonts w:ascii="楷体" w:hAnsi="楷体" w:eastAsia="楷体" w:cs="楷体"/>
          <w:b/>
          <w:bCs/>
          <w:color w:val="000000" w:themeColor="text1"/>
          <w:sz w:val="32"/>
          <w:szCs w:val="32"/>
          <w14:textFill>
            <w14:solidFill>
              <w14:schemeClr w14:val="tx1"/>
            </w14:solidFill>
          </w14:textFill>
        </w:rPr>
      </w:pPr>
      <w:r>
        <w:rPr>
          <w:rFonts w:hint="eastAsia" w:ascii="楷体" w:hAnsi="楷体" w:eastAsia="楷体" w:cs="楷体"/>
          <w:b/>
          <w:bCs/>
          <w:color w:val="000000" w:themeColor="text1"/>
          <w:sz w:val="32"/>
          <w:szCs w:val="32"/>
          <w14:textFill>
            <w14:solidFill>
              <w14:schemeClr w14:val="tx1"/>
            </w14:solidFill>
          </w14:textFill>
        </w:rPr>
        <w:t xml:space="preserve">（三）工程施工要求 </w:t>
      </w:r>
    </w:p>
    <w:p>
      <w:pPr>
        <w:pStyle w:val="7"/>
        <w:spacing w:line="360" w:lineRule="auto"/>
        <w:ind w:firstLine="640" w:firstLineChars="200"/>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lang w:val="en-US" w:eastAsia="zh-CN"/>
          <w14:textFill>
            <w14:solidFill>
              <w14:schemeClr w14:val="tx1"/>
            </w14:solidFill>
          </w14:textFill>
        </w:rPr>
        <w:t>1</w:t>
      </w:r>
      <w:r>
        <w:rPr>
          <w:rFonts w:hint="eastAsia" w:ascii="楷体" w:hAnsi="楷体" w:eastAsia="楷体" w:cs="楷体"/>
          <w:color w:val="000000" w:themeColor="text1"/>
          <w:sz w:val="32"/>
          <w:szCs w:val="32"/>
          <w14:textFill>
            <w14:solidFill>
              <w14:schemeClr w14:val="tx1"/>
            </w14:solidFill>
          </w14:textFill>
        </w:rPr>
        <w:t>、油漆涂料工程</w:t>
      </w:r>
    </w:p>
    <w:p>
      <w:pPr>
        <w:pStyle w:val="7"/>
        <w:spacing w:line="360" w:lineRule="auto"/>
        <w:ind w:firstLine="640" w:firstLineChars="200"/>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（1）木扶手油漆选用粟壳色硝基清漆磨退。</w:t>
      </w:r>
    </w:p>
    <w:p>
      <w:pPr>
        <w:pStyle w:val="7"/>
        <w:spacing w:line="360" w:lineRule="auto"/>
        <w:ind w:firstLine="640" w:firstLineChars="200"/>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（2）其他木装修油漆按以下程序进行：砂平、堵棕眼、刮腻子、着色、刷底漆、清漆磨退。</w:t>
      </w:r>
    </w:p>
    <w:p>
      <w:pPr>
        <w:pStyle w:val="7"/>
        <w:spacing w:line="360" w:lineRule="auto"/>
        <w:ind w:firstLine="640" w:firstLineChars="200"/>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lang w:val="en-US" w:eastAsia="zh-CN"/>
          <w14:textFill>
            <w14:solidFill>
              <w14:schemeClr w14:val="tx1"/>
            </w14:solidFill>
          </w14:textFill>
        </w:rPr>
        <w:t>2</w:t>
      </w:r>
      <w:r>
        <w:rPr>
          <w:rFonts w:hint="eastAsia" w:ascii="楷体" w:hAnsi="楷体" w:eastAsia="楷体" w:cs="楷体"/>
          <w:color w:val="000000" w:themeColor="text1"/>
          <w:sz w:val="32"/>
          <w:szCs w:val="32"/>
          <w14:textFill>
            <w14:solidFill>
              <w14:schemeClr w14:val="tx1"/>
            </w14:solidFill>
          </w14:textFill>
        </w:rPr>
        <w:t xml:space="preserve">、墙面工程 </w:t>
      </w:r>
    </w:p>
    <w:p>
      <w:pPr>
        <w:pStyle w:val="7"/>
        <w:spacing w:line="360" w:lineRule="auto"/>
        <w:ind w:firstLine="640" w:firstLineChars="200"/>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（1）墙面工程应在墙面隐蔽工程完成验收合格后进行。</w:t>
      </w:r>
    </w:p>
    <w:p>
      <w:pPr>
        <w:pStyle w:val="7"/>
        <w:spacing w:line="360" w:lineRule="auto"/>
        <w:ind w:firstLine="640" w:firstLineChars="200"/>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 xml:space="preserve">（2）湿作业施工现场环境温度宜在5℃以上。 </w:t>
      </w:r>
    </w:p>
    <w:p>
      <w:pPr>
        <w:pStyle w:val="7"/>
        <w:spacing w:line="360" w:lineRule="auto"/>
        <w:ind w:firstLine="640" w:firstLineChars="200"/>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 xml:space="preserve">（3）材料要求： </w:t>
      </w:r>
    </w:p>
    <w:p>
      <w:pPr>
        <w:pStyle w:val="7"/>
        <w:spacing w:line="360" w:lineRule="auto"/>
        <w:ind w:firstLine="640" w:firstLineChars="200"/>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fldChar w:fldCharType="begin"/>
      </w:r>
      <w:r>
        <w:rPr>
          <w:rFonts w:hint="eastAsia" w:ascii="楷体" w:hAnsi="楷体" w:eastAsia="楷体" w:cs="楷体"/>
          <w:color w:val="000000" w:themeColor="text1"/>
          <w:sz w:val="32"/>
          <w:szCs w:val="32"/>
          <w14:textFill>
            <w14:solidFill>
              <w14:schemeClr w14:val="tx1"/>
            </w14:solidFill>
          </w14:textFill>
        </w:rPr>
        <w:instrText xml:space="preserve"> = 1 \* GB3 </w:instrText>
      </w:r>
      <w:r>
        <w:rPr>
          <w:rFonts w:hint="eastAsia" w:ascii="楷体" w:hAnsi="楷体" w:eastAsia="楷体" w:cs="楷体"/>
          <w:color w:val="000000" w:themeColor="text1"/>
          <w:sz w:val="32"/>
          <w:szCs w:val="32"/>
          <w14:textFill>
            <w14:solidFill>
              <w14:schemeClr w14:val="tx1"/>
            </w14:solidFill>
          </w14:textFill>
        </w:rPr>
        <w:fldChar w:fldCharType="separate"/>
      </w:r>
      <w:r>
        <w:rPr>
          <w:rFonts w:hint="eastAsia" w:ascii="楷体" w:hAnsi="楷体" w:eastAsia="楷体" w:cs="楷体"/>
          <w:color w:val="000000" w:themeColor="text1"/>
          <w:sz w:val="32"/>
          <w:szCs w:val="32"/>
          <w14:textFill>
            <w14:solidFill>
              <w14:schemeClr w14:val="tx1"/>
            </w14:solidFill>
          </w14:textFill>
        </w:rPr>
        <w:t>①</w:t>
      </w:r>
      <w:r>
        <w:rPr>
          <w:rFonts w:hint="eastAsia" w:ascii="楷体" w:hAnsi="楷体" w:eastAsia="楷体" w:cs="楷体"/>
          <w:color w:val="000000" w:themeColor="text1"/>
          <w:sz w:val="32"/>
          <w:szCs w:val="32"/>
          <w14:textFill>
            <w14:solidFill>
              <w14:schemeClr w14:val="tx1"/>
            </w14:solidFill>
          </w14:textFill>
        </w:rPr>
        <w:fldChar w:fldCharType="end"/>
      </w:r>
      <w:r>
        <w:rPr>
          <w:rFonts w:hint="eastAsia" w:ascii="楷体" w:hAnsi="楷体" w:eastAsia="楷体" w:cs="楷体"/>
          <w:color w:val="000000" w:themeColor="text1"/>
          <w:sz w:val="32"/>
          <w:szCs w:val="32"/>
          <w14:textFill>
            <w14:solidFill>
              <w14:schemeClr w14:val="tx1"/>
            </w14:solidFill>
          </w14:textFill>
        </w:rPr>
        <w:t xml:space="preserve">水泥砌筑砂浆用M7.5砂浆； </w:t>
      </w:r>
    </w:p>
    <w:p>
      <w:pPr>
        <w:pStyle w:val="7"/>
        <w:spacing w:line="360" w:lineRule="auto"/>
        <w:ind w:firstLine="640" w:firstLineChars="200"/>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fldChar w:fldCharType="begin"/>
      </w:r>
      <w:r>
        <w:rPr>
          <w:rFonts w:hint="eastAsia" w:ascii="楷体" w:hAnsi="楷体" w:eastAsia="楷体" w:cs="楷体"/>
          <w:color w:val="000000" w:themeColor="text1"/>
          <w:sz w:val="32"/>
          <w:szCs w:val="32"/>
          <w14:textFill>
            <w14:solidFill>
              <w14:schemeClr w14:val="tx1"/>
            </w14:solidFill>
          </w14:textFill>
        </w:rPr>
        <w:instrText xml:space="preserve"> = 2 \* GB3 </w:instrText>
      </w:r>
      <w:r>
        <w:rPr>
          <w:rFonts w:hint="eastAsia" w:ascii="楷体" w:hAnsi="楷体" w:eastAsia="楷体" w:cs="楷体"/>
          <w:color w:val="000000" w:themeColor="text1"/>
          <w:sz w:val="32"/>
          <w:szCs w:val="32"/>
          <w14:textFill>
            <w14:solidFill>
              <w14:schemeClr w14:val="tx1"/>
            </w14:solidFill>
          </w14:textFill>
        </w:rPr>
        <w:fldChar w:fldCharType="separate"/>
      </w:r>
      <w:r>
        <w:rPr>
          <w:rFonts w:hint="eastAsia" w:ascii="楷体" w:hAnsi="楷体" w:eastAsia="楷体" w:cs="楷体"/>
          <w:color w:val="000000" w:themeColor="text1"/>
          <w:sz w:val="32"/>
          <w:szCs w:val="32"/>
          <w14:textFill>
            <w14:solidFill>
              <w14:schemeClr w14:val="tx1"/>
            </w14:solidFill>
          </w14:textFill>
        </w:rPr>
        <w:t>②</w:t>
      </w:r>
      <w:r>
        <w:rPr>
          <w:rFonts w:hint="eastAsia" w:ascii="楷体" w:hAnsi="楷体" w:eastAsia="楷体" w:cs="楷体"/>
          <w:color w:val="000000" w:themeColor="text1"/>
          <w:sz w:val="32"/>
          <w:szCs w:val="32"/>
          <w14:textFill>
            <w14:solidFill>
              <w14:schemeClr w14:val="tx1"/>
            </w14:solidFill>
          </w14:textFill>
        </w:rPr>
        <w:fldChar w:fldCharType="end"/>
      </w:r>
      <w:r>
        <w:rPr>
          <w:rFonts w:hint="eastAsia" w:ascii="楷体" w:hAnsi="楷体" w:eastAsia="楷体" w:cs="楷体"/>
          <w:color w:val="000000" w:themeColor="text1"/>
          <w:sz w:val="32"/>
          <w:szCs w:val="32"/>
          <w14:textFill>
            <w14:solidFill>
              <w14:schemeClr w14:val="tx1"/>
            </w14:solidFill>
          </w14:textFill>
        </w:rPr>
        <w:t xml:space="preserve">涂料性能应符合国家标准《合成树脂乳液内墙涂料》GB9756-2014的规定； </w:t>
      </w:r>
    </w:p>
    <w:p>
      <w:pPr>
        <w:pStyle w:val="4"/>
        <w:rPr>
          <w:rFonts w:ascii="楷体" w:hAnsi="楷体" w:eastAsia="楷体" w:cs="楷体"/>
          <w:color w:val="000000" w:themeColor="text1"/>
          <w14:textFill>
            <w14:solidFill>
              <w14:schemeClr w14:val="tx1"/>
            </w14:solidFill>
          </w14:textFill>
        </w:rPr>
      </w:pPr>
      <w:bookmarkStart w:id="25" w:name="_Toc7828"/>
      <w:bookmarkStart w:id="26" w:name="_Toc50126975"/>
      <w:r>
        <w:rPr>
          <w:rFonts w:hint="eastAsia" w:ascii="楷体" w:hAnsi="楷体" w:eastAsia="楷体" w:cs="楷体"/>
          <w:color w:val="000000" w:themeColor="text1"/>
          <w14:textFill>
            <w14:solidFill>
              <w14:schemeClr w14:val="tx1"/>
            </w14:solidFill>
          </w14:textFill>
        </w:rPr>
        <w:t>三、给排水要求</w:t>
      </w:r>
      <w:bookmarkEnd w:id="25"/>
      <w:bookmarkEnd w:id="26"/>
    </w:p>
    <w:p>
      <w:pPr>
        <w:pStyle w:val="7"/>
        <w:spacing w:line="360" w:lineRule="auto"/>
        <w:ind w:firstLine="640" w:firstLineChars="200"/>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1、给排水设计采用的主要规范和规定如下：</w:t>
      </w:r>
    </w:p>
    <w:p>
      <w:pPr>
        <w:pStyle w:val="7"/>
        <w:spacing w:line="360" w:lineRule="auto"/>
        <w:ind w:firstLine="627" w:firstLineChars="196"/>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《建筑给水排水设计规范》（GB50015-2003,2009年版）；</w:t>
      </w:r>
    </w:p>
    <w:p>
      <w:pPr>
        <w:pStyle w:val="7"/>
        <w:spacing w:line="360" w:lineRule="auto"/>
        <w:ind w:firstLine="627" w:firstLineChars="196"/>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《建筑设计防火规范》（GB50016-2014）（2018年版）；</w:t>
      </w:r>
    </w:p>
    <w:p>
      <w:pPr>
        <w:pStyle w:val="7"/>
        <w:spacing w:line="360" w:lineRule="auto"/>
        <w:ind w:firstLine="627" w:firstLineChars="196"/>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《建筑灭火器配置设计规范》（GB50140-2005）；</w:t>
      </w:r>
    </w:p>
    <w:p>
      <w:pPr>
        <w:pStyle w:val="7"/>
        <w:spacing w:line="360" w:lineRule="auto"/>
        <w:ind w:firstLine="627" w:firstLineChars="196"/>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《室外给水设计规范》（GB50013-2006）；</w:t>
      </w:r>
    </w:p>
    <w:p>
      <w:pPr>
        <w:pStyle w:val="7"/>
        <w:spacing w:line="360" w:lineRule="auto"/>
        <w:ind w:firstLine="627" w:firstLineChars="196"/>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《室外排水设计规范》（GB50014-2006,2016年版）；</w:t>
      </w:r>
    </w:p>
    <w:p>
      <w:pPr>
        <w:pStyle w:val="7"/>
        <w:spacing w:line="360" w:lineRule="auto"/>
        <w:ind w:firstLine="627" w:firstLineChars="196"/>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《消防给水及消火栓系统技术规范》（GB50974-2014）；</w:t>
      </w:r>
    </w:p>
    <w:p>
      <w:pPr>
        <w:pStyle w:val="7"/>
        <w:spacing w:line="360" w:lineRule="auto"/>
        <w:ind w:firstLine="627" w:firstLineChars="196"/>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《民用建筑节水设计标准》（GB50555-2010）；</w:t>
      </w:r>
    </w:p>
    <w:p>
      <w:pPr>
        <w:pStyle w:val="7"/>
        <w:spacing w:line="360" w:lineRule="auto"/>
        <w:ind w:firstLine="627" w:firstLineChars="196"/>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《四川省用水定额（修订稿）》；</w:t>
      </w:r>
    </w:p>
    <w:p>
      <w:pPr>
        <w:pStyle w:val="7"/>
        <w:spacing w:line="360" w:lineRule="auto"/>
        <w:ind w:firstLine="627" w:firstLineChars="196"/>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现行国家有关规范、规定、标准等。</w:t>
      </w:r>
    </w:p>
    <w:p>
      <w:pPr>
        <w:pStyle w:val="7"/>
        <w:spacing w:line="360" w:lineRule="auto"/>
        <w:ind w:firstLine="627" w:firstLineChars="196"/>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2、给水系统</w:t>
      </w:r>
    </w:p>
    <w:p>
      <w:pPr>
        <w:spacing w:line="360" w:lineRule="auto"/>
        <w:ind w:firstLine="624" w:firstLineChars="200"/>
        <w:rPr>
          <w:rFonts w:ascii="楷体" w:hAnsi="楷体" w:eastAsia="楷体" w:cs="楷体"/>
          <w:color w:val="000000" w:themeColor="text1"/>
          <w:spacing w:val="-4"/>
          <w:sz w:val="32"/>
          <w:szCs w:val="32"/>
          <w14:textFill>
            <w14:solidFill>
              <w14:schemeClr w14:val="tx1"/>
            </w14:solidFill>
          </w14:textFill>
        </w:rPr>
      </w:pPr>
      <w:r>
        <w:rPr>
          <w:rFonts w:hint="eastAsia" w:ascii="楷体" w:hAnsi="楷体" w:eastAsia="楷体" w:cs="楷体"/>
          <w:color w:val="000000" w:themeColor="text1"/>
          <w:spacing w:val="-4"/>
          <w:sz w:val="32"/>
          <w:szCs w:val="32"/>
          <w14:textFill>
            <w14:solidFill>
              <w14:schemeClr w14:val="tx1"/>
            </w14:solidFill>
          </w14:textFill>
        </w:rPr>
        <w:t>本项目用水水源由市政给水管网供给，供水管网利用乐山市人民医院内现有管网系统。</w:t>
      </w:r>
    </w:p>
    <w:p>
      <w:pPr>
        <w:spacing w:line="360" w:lineRule="auto"/>
        <w:ind w:firstLine="640" w:firstLineChars="200"/>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3、排水系统</w:t>
      </w:r>
    </w:p>
    <w:p>
      <w:pPr>
        <w:spacing w:line="360" w:lineRule="auto"/>
        <w:ind w:firstLine="640" w:firstLineChars="200"/>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污水处理</w:t>
      </w:r>
    </w:p>
    <w:p>
      <w:pPr>
        <w:spacing w:line="360" w:lineRule="auto"/>
        <w:ind w:firstLine="640" w:firstLineChars="200"/>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项目污水经管道排入市政污水管网，最终排至污水处理厂处理达标后排放。</w:t>
      </w:r>
    </w:p>
    <w:p>
      <w:pPr>
        <w:spacing w:line="360" w:lineRule="auto"/>
        <w:ind w:firstLine="640" w:firstLineChars="200"/>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4、消防系统</w:t>
      </w:r>
    </w:p>
    <w:p>
      <w:pPr>
        <w:spacing w:line="360" w:lineRule="auto"/>
        <w:ind w:firstLine="640" w:firstLineChars="200"/>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（1）该项目为改造项目，原有室内消火栓均满足保护距离要求，本次改造不做修改。</w:t>
      </w:r>
    </w:p>
    <w:p>
      <w:pPr>
        <w:spacing w:line="360" w:lineRule="auto"/>
        <w:ind w:firstLine="640" w:firstLineChars="200"/>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（2）建筑灭火器配置设计</w:t>
      </w:r>
    </w:p>
    <w:p>
      <w:pPr>
        <w:spacing w:line="360" w:lineRule="auto"/>
        <w:ind w:firstLine="640" w:firstLineChars="200"/>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根据《建筑灭火器配置设计规范》（GB50140-2005）的相关规定，建筑灭火器配置均按中危险级考虑，设置MF/ABC3型磷酸铵盐干粉灭火器。</w:t>
      </w:r>
    </w:p>
    <w:p>
      <w:pPr>
        <w:pStyle w:val="4"/>
        <w:rPr>
          <w:rFonts w:ascii="楷体" w:hAnsi="楷体" w:eastAsia="楷体" w:cs="楷体"/>
          <w:color w:val="000000" w:themeColor="text1"/>
          <w14:textFill>
            <w14:solidFill>
              <w14:schemeClr w14:val="tx1"/>
            </w14:solidFill>
          </w14:textFill>
        </w:rPr>
      </w:pPr>
      <w:bookmarkStart w:id="27" w:name="_Toc21424"/>
      <w:r>
        <w:rPr>
          <w:rFonts w:hint="eastAsia" w:ascii="楷体" w:hAnsi="楷体" w:eastAsia="楷体" w:cs="楷体"/>
          <w:color w:val="000000" w:themeColor="text1"/>
          <w:lang w:eastAsia="zh-CN"/>
          <w14:textFill>
            <w14:solidFill>
              <w14:schemeClr w14:val="tx1"/>
            </w14:solidFill>
          </w14:textFill>
        </w:rPr>
        <w:t>四</w:t>
      </w:r>
      <w:r>
        <w:rPr>
          <w:rFonts w:hint="eastAsia" w:ascii="楷体" w:hAnsi="楷体" w:eastAsia="楷体" w:cs="楷体"/>
          <w:color w:val="000000" w:themeColor="text1"/>
          <w14:textFill>
            <w14:solidFill>
              <w14:schemeClr w14:val="tx1"/>
            </w14:solidFill>
          </w14:textFill>
        </w:rPr>
        <w:t>、消防要求</w:t>
      </w:r>
      <w:bookmarkEnd w:id="27"/>
    </w:p>
    <w:p>
      <w:pPr>
        <w:spacing w:line="360" w:lineRule="auto"/>
        <w:ind w:firstLine="540"/>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在项目建设中，将遵循“预防为主，消防结合”的方针，严格贯彻执行国家《建筑设计防火规划》。在设备选购、建筑装修等方面设计中采取以下措施：</w:t>
      </w:r>
    </w:p>
    <w:p>
      <w:pPr>
        <w:spacing w:line="360" w:lineRule="auto"/>
        <w:ind w:firstLine="540"/>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1、严格按照国家规定，选购符合国家规定标准或使用许可的设备。</w:t>
      </w:r>
    </w:p>
    <w:p>
      <w:pPr>
        <w:spacing w:line="360" w:lineRule="auto"/>
        <w:ind w:firstLine="540"/>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2、建筑物按防火规定，设置防火门、疏散通道、消防电梯、安全出入口、火灾自动报警系统等，建筑物内部装修选用不燃性和难燃性材料。</w:t>
      </w:r>
    </w:p>
    <w:p>
      <w:pPr>
        <w:spacing w:line="360" w:lineRule="auto"/>
        <w:ind w:firstLine="540"/>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3、建筑物内外，严格按照国家消防规定设置消防设施、通道和各种指示标志。</w:t>
      </w:r>
    </w:p>
    <w:p>
      <w:pPr>
        <w:pStyle w:val="3"/>
        <w:jc w:val="center"/>
        <w:rPr>
          <w:rFonts w:eastAsia="楷体"/>
          <w:color w:val="000000" w:themeColor="text1"/>
          <w14:textFill>
            <w14:solidFill>
              <w14:schemeClr w14:val="tx1"/>
            </w14:solidFill>
          </w14:textFill>
        </w:rPr>
      </w:pPr>
      <w:bookmarkStart w:id="28" w:name="_Toc26422"/>
      <w:r>
        <w:rPr>
          <w:rFonts w:hint="eastAsia" w:ascii="楷体" w:hAnsi="楷体" w:eastAsia="楷体" w:cs="楷体"/>
          <w:color w:val="000000" w:themeColor="text1"/>
          <w:szCs w:val="44"/>
          <w14:textFill>
            <w14:solidFill>
              <w14:schemeClr w14:val="tx1"/>
            </w14:solidFill>
          </w14:textFill>
        </w:rPr>
        <w:t>第五章  投资估算</w:t>
      </w:r>
      <w:bookmarkEnd w:id="28"/>
    </w:p>
    <w:p>
      <w:pPr>
        <w:pStyle w:val="4"/>
        <w:rPr>
          <w:rFonts w:ascii="楷体" w:hAnsi="楷体" w:eastAsia="楷体" w:cs="楷体"/>
          <w:color w:val="000000" w:themeColor="text1"/>
          <w14:textFill>
            <w14:solidFill>
              <w14:schemeClr w14:val="tx1"/>
            </w14:solidFill>
          </w14:textFill>
        </w:rPr>
      </w:pPr>
      <w:bookmarkStart w:id="29" w:name="_Toc17422"/>
      <w:r>
        <w:rPr>
          <w:rFonts w:hint="eastAsia" w:ascii="楷体" w:hAnsi="楷体" w:eastAsia="楷体" w:cs="楷体"/>
          <w:color w:val="000000" w:themeColor="text1"/>
          <w14:textFill>
            <w14:solidFill>
              <w14:schemeClr w14:val="tx1"/>
            </w14:solidFill>
          </w14:textFill>
        </w:rPr>
        <w:t>一、工程预算编制依据</w:t>
      </w:r>
      <w:bookmarkEnd w:id="29"/>
    </w:p>
    <w:p>
      <w:pPr>
        <w:rPr>
          <w:color w:val="000000" w:themeColor="text1"/>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（1）乐山市机关事务管理局《关于印发&lt;乐山市市级机关事业单位办公用房维修管理暂行办法&gt;的通知》（乐机管发〔</w:t>
      </w:r>
    </w:p>
    <w:p>
      <w:pPr>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2020〕9号）</w:t>
      </w:r>
    </w:p>
    <w:p>
      <w:pPr>
        <w:ind w:firstLine="320" w:firstLineChars="100"/>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（2）《乐山市市级行政事业单位通用办公设备和家具配置标准表》</w:t>
      </w:r>
    </w:p>
    <w:p>
      <w:pPr>
        <w:ind w:firstLine="320" w:firstLineChars="100"/>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（3）《乐山市财政局关于调整市级行政事业单位通用办公设备和家俱最低使用年限的通知》（乐市财政资（2020）6号）</w:t>
      </w:r>
    </w:p>
    <w:p>
      <w:pPr>
        <w:ind w:firstLine="320" w:firstLineChars="100"/>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（4）中华人民共和国国家标准GB50500-2013《建设工程工程量清单计价规范》</w:t>
      </w:r>
    </w:p>
    <w:p>
      <w:pPr>
        <w:ind w:firstLine="320" w:firstLineChars="100"/>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（5）四川省2015年《建设工程工程量清单计价定额》及国家、省、市有关工程量清单编制的政府指导性文件。</w:t>
      </w:r>
    </w:p>
    <w:p>
      <w:pPr>
        <w:ind w:firstLine="320" w:firstLineChars="100"/>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（6）材料价格乐山市《工程造价信息》及市场价格。</w:t>
      </w:r>
    </w:p>
    <w:p>
      <w:pPr>
        <w:ind w:firstLine="320" w:firstLineChars="100"/>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（7）工程量清单中对工程特征及具体做法只作重点描述，详细描述见施工图、技术说明及相应标准图集、施工规范。</w:t>
      </w:r>
    </w:p>
    <w:p>
      <w:pPr>
        <w:ind w:firstLine="320" w:firstLineChars="100"/>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（8）本工程措施项目清单（一）中的安全文明施工措施费的计算，是按川建造价发〔2019〕180号和川建发〔2017〕5号执行计算。</w:t>
      </w:r>
    </w:p>
    <w:p>
      <w:pPr>
        <w:ind w:firstLine="320" w:firstLineChars="100"/>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（9）规费按“2015《四川省工程量清单计价定额》”中规定的规费费率上限计取。</w:t>
      </w:r>
    </w:p>
    <w:p>
      <w:pPr>
        <w:ind w:firstLine="320" w:firstLineChars="100"/>
        <w:rPr>
          <w:rFonts w:ascii="楷体" w:hAnsi="楷体" w:eastAsia="楷体" w:cs="楷体"/>
          <w:color w:val="000000" w:themeColor="text1"/>
          <w:sz w:val="32"/>
          <w:szCs w:val="32"/>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 xml:space="preserve">（10）税金按川建造价发〔2019〕181号文件计算。 </w:t>
      </w:r>
    </w:p>
    <w:p>
      <w:pPr>
        <w:ind w:firstLine="320" w:firstLineChars="100"/>
        <w:rPr>
          <w:color w:val="000000" w:themeColor="text1"/>
          <w14:textFill>
            <w14:solidFill>
              <w14:schemeClr w14:val="tx1"/>
            </w14:solidFill>
          </w14:textFill>
        </w:rPr>
      </w:pPr>
      <w:r>
        <w:rPr>
          <w:rFonts w:hint="eastAsia" w:ascii="楷体" w:hAnsi="楷体" w:eastAsia="楷体" w:cs="楷体"/>
          <w:color w:val="000000" w:themeColor="text1"/>
          <w:sz w:val="32"/>
          <w:szCs w:val="32"/>
          <w14:textFill>
            <w14:solidFill>
              <w14:schemeClr w14:val="tx1"/>
            </w14:solidFill>
          </w14:textFill>
        </w:rPr>
        <w:t>（11）人工费调整按川建价发〔2020）6号文件。</w:t>
      </w:r>
    </w:p>
    <w:p>
      <w:pPr>
        <w:pStyle w:val="4"/>
        <w:rPr>
          <w:rFonts w:ascii="楷体" w:hAnsi="楷体" w:eastAsia="楷体" w:cs="楷体"/>
          <w:color w:val="000000" w:themeColor="text1"/>
          <w14:textFill>
            <w14:solidFill>
              <w14:schemeClr w14:val="tx1"/>
            </w14:solidFill>
          </w14:textFill>
        </w:rPr>
      </w:pPr>
      <w:bookmarkStart w:id="30" w:name="_Toc21613"/>
      <w:r>
        <w:rPr>
          <w:rFonts w:hint="eastAsia" w:ascii="楷体" w:hAnsi="楷体" w:eastAsia="楷体" w:cs="楷体"/>
          <w:color w:val="000000" w:themeColor="text1"/>
          <w14:textFill>
            <w14:solidFill>
              <w14:schemeClr w14:val="tx1"/>
            </w14:solidFill>
          </w14:textFill>
        </w:rPr>
        <w:t>二、投资估算</w:t>
      </w:r>
      <w:bookmarkEnd w:id="30"/>
    </w:p>
    <w:p>
      <w:pPr>
        <w:ind w:firstLine="640" w:firstLineChars="200"/>
        <w:rPr>
          <w:rFonts w:ascii="楷体" w:hAnsi="楷体" w:eastAsia="楷体" w:cs="楷体"/>
          <w:sz w:val="32"/>
          <w:szCs w:val="32"/>
        </w:rPr>
      </w:pPr>
      <w:r>
        <w:rPr>
          <w:rFonts w:hint="eastAsia" w:ascii="楷体" w:hAnsi="楷体" w:eastAsia="楷体" w:cs="楷体"/>
          <w:color w:val="000000" w:themeColor="text1"/>
          <w:sz w:val="32"/>
          <w:szCs w:val="32"/>
          <w14:textFill>
            <w14:solidFill>
              <w14:schemeClr w14:val="tx1"/>
            </w14:solidFill>
          </w14:textFill>
        </w:rPr>
        <w:t>乐山市人民医院</w:t>
      </w:r>
      <w:r>
        <w:rPr>
          <w:rFonts w:hint="eastAsia" w:ascii="楷体" w:hAnsi="楷体" w:eastAsia="楷体" w:cs="楷体"/>
          <w:i w:val="0"/>
          <w:iCs w:val="0"/>
          <w:color w:val="000000" w:themeColor="text1"/>
          <w:kern w:val="0"/>
          <w:sz w:val="32"/>
          <w:szCs w:val="32"/>
          <w:u w:val="none"/>
          <w:lang w:val="en-US" w:eastAsia="zh-CN" w:bidi="ar"/>
          <w14:textFill>
            <w14:solidFill>
              <w14:schemeClr w14:val="tx1"/>
            </w14:solidFill>
          </w14:textFill>
        </w:rPr>
        <w:t>乐山市人民医院发热门诊屋面漏水维修工程</w:t>
      </w:r>
      <w:r>
        <w:rPr>
          <w:rFonts w:hint="eastAsia" w:ascii="楷体" w:hAnsi="楷体" w:eastAsia="楷体" w:cs="楷体"/>
          <w:color w:val="000000" w:themeColor="text1"/>
          <w:sz w:val="32"/>
          <w:szCs w:val="32"/>
          <w:lang w:val="zh-CN"/>
          <w14:textFill>
            <w14:solidFill>
              <w14:schemeClr w14:val="tx1"/>
            </w14:solidFill>
          </w14:textFill>
        </w:rPr>
        <w:t>投资金额</w:t>
      </w:r>
      <w:r>
        <w:rPr>
          <w:rFonts w:hint="eastAsia" w:ascii="楷体" w:hAnsi="楷体" w:eastAsia="楷体" w:cs="楷体"/>
          <w:color w:val="000000" w:themeColor="text1"/>
          <w:sz w:val="32"/>
          <w:szCs w:val="32"/>
          <w:u w:val="single"/>
          <w:lang w:val="en-US" w:eastAsia="zh-CN"/>
          <w14:textFill>
            <w14:solidFill>
              <w14:schemeClr w14:val="tx1"/>
            </w14:solidFill>
          </w14:textFill>
        </w:rPr>
        <w:t>36</w:t>
      </w:r>
      <w:r>
        <w:rPr>
          <w:rFonts w:hint="eastAsia" w:ascii="楷体" w:hAnsi="楷体" w:eastAsia="楷体" w:cs="楷体"/>
          <w:color w:val="000000" w:themeColor="text1"/>
          <w:sz w:val="32"/>
          <w:szCs w:val="32"/>
          <w:u w:val="single"/>
          <w:lang w:eastAsia="zh-CN"/>
          <w14:textFill>
            <w14:solidFill>
              <w14:schemeClr w14:val="tx1"/>
            </w14:solidFill>
          </w14:textFill>
        </w:rPr>
        <w:t>.</w:t>
      </w:r>
      <w:r>
        <w:rPr>
          <w:rFonts w:hint="eastAsia" w:ascii="楷体" w:hAnsi="楷体" w:eastAsia="楷体" w:cs="楷体"/>
          <w:color w:val="000000" w:themeColor="text1"/>
          <w:sz w:val="32"/>
          <w:szCs w:val="32"/>
          <w:u w:val="single"/>
          <w:lang w:val="en-US" w:eastAsia="zh-CN"/>
          <w14:textFill>
            <w14:solidFill>
              <w14:schemeClr w14:val="tx1"/>
            </w14:solidFill>
          </w14:textFill>
        </w:rPr>
        <w:t>00</w:t>
      </w:r>
      <w:r>
        <w:rPr>
          <w:rFonts w:hint="eastAsia" w:ascii="楷体" w:hAnsi="楷体" w:eastAsia="楷体" w:cs="楷体"/>
          <w:color w:val="000000" w:themeColor="text1"/>
          <w:sz w:val="32"/>
          <w:szCs w:val="32"/>
          <w:u w:val="single"/>
          <w14:textFill>
            <w14:solidFill>
              <w14:schemeClr w14:val="tx1"/>
            </w14:solidFill>
          </w14:textFill>
        </w:rPr>
        <w:t>万元</w:t>
      </w:r>
      <w:r>
        <w:rPr>
          <w:rFonts w:hint="eastAsia" w:ascii="楷体" w:hAnsi="楷体" w:eastAsia="楷体" w:cs="楷体"/>
          <w:color w:val="000000" w:themeColor="text1"/>
          <w:sz w:val="32"/>
          <w:szCs w:val="32"/>
          <w14:textFill>
            <w14:solidFill>
              <w14:schemeClr w14:val="tx1"/>
            </w14:solidFill>
          </w14:textFill>
        </w:rPr>
        <w:t>。</w:t>
      </w:r>
    </w:p>
    <w:sectPr>
      <w:pgSz w:w="11906" w:h="16838"/>
      <w:pgMar w:top="1440" w:right="1800" w:bottom="1440" w:left="1800"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roman"/>
    <w:pitch w:val="default"/>
    <w:sig w:usb0="E0002AFF" w:usb1="C0007841"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Calibri Light">
    <w:altName w:val="Calibri"/>
    <w:panose1 w:val="020F0302020204030204"/>
    <w:charset w:val="00"/>
    <w:family w:val="swiss"/>
    <w:pitch w:val="default"/>
    <w:sig w:usb0="00000000" w:usb1="00000000" w:usb2="00000000" w:usb3="00000000" w:csb0="2000019F" w:csb1="00000000"/>
  </w:font>
  <w:font w:name="楷体">
    <w:panose1 w:val="02010609060101010101"/>
    <w:charset w:val="86"/>
    <w:family w:val="modern"/>
    <w:pitch w:val="default"/>
    <w:sig w:usb0="800002BF" w:usb1="38CF7CFA" w:usb2="00000016" w:usb3="00000000" w:csb0="00040001" w:csb1="00000000"/>
  </w:font>
  <w:font w:name="仿宋_GB2312">
    <w:panose1 w:val="02010609030101010101"/>
    <w:charset w:val="86"/>
    <w:family w:val="modern"/>
    <w:pitch w:val="default"/>
    <w:sig w:usb0="00000001" w:usb1="080E0000" w:usb2="00000000" w:usb3="00000000" w:csb0="00040000" w:csb1="00000000"/>
  </w:font>
  <w:font w:name="楷体_GB2312">
    <w:panose1 w:val="02010609030101010101"/>
    <w:charset w:val="86"/>
    <w:family w:val="roman"/>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32"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9525">
                        <a:noFill/>
                      </a:ln>
                    </wps:spPr>
                    <wps:txbx>
                      <w:txbxContent>
                        <w:p>
                          <w:pPr>
                            <w:pStyle w:val="2"/>
                          </w:pPr>
                          <w:r>
                            <w:fldChar w:fldCharType="begin"/>
                          </w:r>
                          <w:r>
                            <w:instrText xml:space="preserve"> PAGE  \* MERGEFORMAT </w:instrText>
                          </w:r>
                          <w:r>
                            <w:fldChar w:fldCharType="separate"/>
                          </w:r>
                          <w:r>
                            <w:t>1</w:t>
                          </w:r>
                          <w:r>
                            <w:fldChar w:fldCharType="end"/>
                          </w:r>
                        </w:p>
                      </w:txbxContent>
                    </wps:txbx>
                    <wps:bodyPr vert="horz" wrap="none" lIns="0" tIns="0" rIns="0" bIns="0" anchor="t" anchorCtr="0" upright="0">
                      <a:spAutoFit/>
                    </wps:bodyPr>
                  </wps:wsp>
                </a:graphicData>
              </a:graphic>
            </wp:anchor>
          </w:drawing>
        </mc:Choice>
        <mc:Fallback>
          <w:pict>
            <v:shape id="文本框 3"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DOqXm5zwAAAAUBAAAP&#10;AAAAAAAAAAEAIAAAACIAAABkcnMvZG93bnJldi54bWxQSwECFAAUAAAACACHTuJAS5PPRugBAADI&#10;AwAADgAAAAAAAAABACAAAAAeAQAAZHJzL2Uyb0RvYy54bWxQSwUGAAAAAAYABgBZAQAAeAUAAAAA&#10;">
              <v:fill on="f" focussize="0,0"/>
              <v:stroke on="f"/>
              <v:imagedata o:title=""/>
              <o:lock v:ext="edit" aspectratio="f"/>
              <v:textbox inset="0mm,0mm,0mm,0mm" style="mso-fit-shape-to-text:t;">
                <w:txbxContent>
                  <w:p>
                    <w:pPr>
                      <w:pStyle w:val="2"/>
                    </w:pPr>
                    <w:r>
                      <w:fldChar w:fldCharType="begin"/>
                    </w:r>
                    <w:r>
                      <w:instrText xml:space="preserve"> PAGE  \* MERGEFORMAT </w:instrText>
                    </w:r>
                    <w:r>
                      <w:fldChar w:fldCharType="separate"/>
                    </w:r>
                    <w:r>
                      <w:t>1</w:t>
                    </w:r>
                    <w:r>
                      <w:fldChar w:fldCharType="end"/>
                    </w:r>
                  </w:p>
                </w:txbxContent>
              </v:textbox>
            </v:shape>
          </w:pict>
        </mc:Fallback>
      </mc:AlternateContent>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documentProtection w:enforcement="0"/>
  <w:defaultTabStop w:val="420"/>
  <w:drawingGridVerticalSpacing w:val="159"/>
  <w:displayHorizontalDrawingGridEvery w:val="1"/>
  <w:displayVerticalDrawingGridEvery w:val="1"/>
  <w:noPunctuationKerning w:val="1"/>
  <w:characterSpacingControl w:val="compressPunctuation"/>
  <w:hdrShapeDefaults>
    <o:shapelayout v:ext="edit">
      <o:idmap v:ext="edit" data="1"/>
    </o:shapelayout>
  </w:hdrShapeDefaults>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mQyZmUxYzFhNDZhNmRiMDc0ZGNmN2Q2ZGQxNmJiN2QifQ=="/>
  </w:docVars>
  <w:rsids>
    <w:rsidRoot w:val="00B31055"/>
    <w:rsid w:val="00014673"/>
    <w:rsid w:val="000361B1"/>
    <w:rsid w:val="00037BD0"/>
    <w:rsid w:val="00221416"/>
    <w:rsid w:val="003C59D2"/>
    <w:rsid w:val="0055649A"/>
    <w:rsid w:val="006B3E28"/>
    <w:rsid w:val="00816984"/>
    <w:rsid w:val="00816A37"/>
    <w:rsid w:val="0098170C"/>
    <w:rsid w:val="009A50FA"/>
    <w:rsid w:val="00A10FDF"/>
    <w:rsid w:val="00A4602B"/>
    <w:rsid w:val="00B31055"/>
    <w:rsid w:val="00BC2A36"/>
    <w:rsid w:val="00CE5711"/>
    <w:rsid w:val="00D539A6"/>
    <w:rsid w:val="00DF76AA"/>
    <w:rsid w:val="00EE06AE"/>
    <w:rsid w:val="00FD4018"/>
    <w:rsid w:val="01F55E97"/>
    <w:rsid w:val="02CA2F3B"/>
    <w:rsid w:val="03BC734D"/>
    <w:rsid w:val="047E6795"/>
    <w:rsid w:val="04EB1E0E"/>
    <w:rsid w:val="05A65DAB"/>
    <w:rsid w:val="073A08E6"/>
    <w:rsid w:val="078A5966"/>
    <w:rsid w:val="08BB6B2E"/>
    <w:rsid w:val="08D41EC0"/>
    <w:rsid w:val="093A055A"/>
    <w:rsid w:val="09D736B4"/>
    <w:rsid w:val="0A3639F0"/>
    <w:rsid w:val="0B164989"/>
    <w:rsid w:val="0C302EA7"/>
    <w:rsid w:val="0C4E3355"/>
    <w:rsid w:val="0D9E67B4"/>
    <w:rsid w:val="0DBC506F"/>
    <w:rsid w:val="0FF572B0"/>
    <w:rsid w:val="108523F0"/>
    <w:rsid w:val="10D33A98"/>
    <w:rsid w:val="10E77C14"/>
    <w:rsid w:val="117A2DA5"/>
    <w:rsid w:val="13747EF6"/>
    <w:rsid w:val="17BE2FA8"/>
    <w:rsid w:val="190B06F2"/>
    <w:rsid w:val="19CD414F"/>
    <w:rsid w:val="19D06C92"/>
    <w:rsid w:val="1AA60111"/>
    <w:rsid w:val="1ABA3536"/>
    <w:rsid w:val="1B4106E3"/>
    <w:rsid w:val="1C043301"/>
    <w:rsid w:val="1DDF5FAE"/>
    <w:rsid w:val="1E2A1632"/>
    <w:rsid w:val="1ECD7439"/>
    <w:rsid w:val="1F601F3E"/>
    <w:rsid w:val="20C022E7"/>
    <w:rsid w:val="21050CCF"/>
    <w:rsid w:val="213D6192"/>
    <w:rsid w:val="24A9664F"/>
    <w:rsid w:val="25497E77"/>
    <w:rsid w:val="254A083C"/>
    <w:rsid w:val="25E52C17"/>
    <w:rsid w:val="28E03E9F"/>
    <w:rsid w:val="2C2F2140"/>
    <w:rsid w:val="2DE1264A"/>
    <w:rsid w:val="2E293BF2"/>
    <w:rsid w:val="2E677A0E"/>
    <w:rsid w:val="2EB13D6C"/>
    <w:rsid w:val="2ECC00B4"/>
    <w:rsid w:val="2EF77956"/>
    <w:rsid w:val="2F6824F8"/>
    <w:rsid w:val="30195192"/>
    <w:rsid w:val="323F1743"/>
    <w:rsid w:val="328F69BA"/>
    <w:rsid w:val="32975BD6"/>
    <w:rsid w:val="32A97FCE"/>
    <w:rsid w:val="33594A8B"/>
    <w:rsid w:val="339B382B"/>
    <w:rsid w:val="345341E7"/>
    <w:rsid w:val="35353BA8"/>
    <w:rsid w:val="35891008"/>
    <w:rsid w:val="35DA7285"/>
    <w:rsid w:val="360B0081"/>
    <w:rsid w:val="36E32679"/>
    <w:rsid w:val="379D1641"/>
    <w:rsid w:val="396431C2"/>
    <w:rsid w:val="39B03D63"/>
    <w:rsid w:val="3BC96016"/>
    <w:rsid w:val="3CC44087"/>
    <w:rsid w:val="3D713BF5"/>
    <w:rsid w:val="3D80275B"/>
    <w:rsid w:val="3E067C04"/>
    <w:rsid w:val="3E5B5083"/>
    <w:rsid w:val="3EBD7201"/>
    <w:rsid w:val="3EEF0DD4"/>
    <w:rsid w:val="3F2F7F31"/>
    <w:rsid w:val="3F302E3F"/>
    <w:rsid w:val="3F397FA2"/>
    <w:rsid w:val="3FEA5768"/>
    <w:rsid w:val="40160363"/>
    <w:rsid w:val="40354D62"/>
    <w:rsid w:val="403D5DA8"/>
    <w:rsid w:val="403D5F02"/>
    <w:rsid w:val="404C551E"/>
    <w:rsid w:val="406E5E9F"/>
    <w:rsid w:val="41182667"/>
    <w:rsid w:val="417F3519"/>
    <w:rsid w:val="41BB038D"/>
    <w:rsid w:val="41E77544"/>
    <w:rsid w:val="41F7390B"/>
    <w:rsid w:val="428502B5"/>
    <w:rsid w:val="45BB5620"/>
    <w:rsid w:val="474E10AC"/>
    <w:rsid w:val="47D953C9"/>
    <w:rsid w:val="4827675C"/>
    <w:rsid w:val="49D57D24"/>
    <w:rsid w:val="4A311C78"/>
    <w:rsid w:val="4A4C4C81"/>
    <w:rsid w:val="4ACE0280"/>
    <w:rsid w:val="4CB9558F"/>
    <w:rsid w:val="4CF96A65"/>
    <w:rsid w:val="4D615F0F"/>
    <w:rsid w:val="4E863A9B"/>
    <w:rsid w:val="4EA4443E"/>
    <w:rsid w:val="4FFE0845"/>
    <w:rsid w:val="50650DE8"/>
    <w:rsid w:val="50A2155F"/>
    <w:rsid w:val="50D526D0"/>
    <w:rsid w:val="516D7CA3"/>
    <w:rsid w:val="5208637B"/>
    <w:rsid w:val="52323C63"/>
    <w:rsid w:val="52701540"/>
    <w:rsid w:val="52A05322"/>
    <w:rsid w:val="52DB1D3C"/>
    <w:rsid w:val="53507C14"/>
    <w:rsid w:val="539C1200"/>
    <w:rsid w:val="53D13DFC"/>
    <w:rsid w:val="53EB3B5D"/>
    <w:rsid w:val="54BC03AB"/>
    <w:rsid w:val="563B4E23"/>
    <w:rsid w:val="56EB747C"/>
    <w:rsid w:val="58D84931"/>
    <w:rsid w:val="590A496E"/>
    <w:rsid w:val="5A457B6C"/>
    <w:rsid w:val="5A7E18D0"/>
    <w:rsid w:val="5D5F37A2"/>
    <w:rsid w:val="5F55453D"/>
    <w:rsid w:val="5F7A02C2"/>
    <w:rsid w:val="5F7F6987"/>
    <w:rsid w:val="601D7D37"/>
    <w:rsid w:val="60A30087"/>
    <w:rsid w:val="61105C92"/>
    <w:rsid w:val="61664E55"/>
    <w:rsid w:val="626C18E5"/>
    <w:rsid w:val="62B838C0"/>
    <w:rsid w:val="62C6070F"/>
    <w:rsid w:val="62F74F7A"/>
    <w:rsid w:val="644877DF"/>
    <w:rsid w:val="64B05CCD"/>
    <w:rsid w:val="66283BB7"/>
    <w:rsid w:val="66A67261"/>
    <w:rsid w:val="673811F5"/>
    <w:rsid w:val="68943865"/>
    <w:rsid w:val="68B22E28"/>
    <w:rsid w:val="697219C9"/>
    <w:rsid w:val="69A55F1A"/>
    <w:rsid w:val="69D75626"/>
    <w:rsid w:val="6AA11C24"/>
    <w:rsid w:val="6AEC64B6"/>
    <w:rsid w:val="6E7A422B"/>
    <w:rsid w:val="6E7B0FAB"/>
    <w:rsid w:val="705F6A24"/>
    <w:rsid w:val="71E36E1C"/>
    <w:rsid w:val="73693AB8"/>
    <w:rsid w:val="736B46A9"/>
    <w:rsid w:val="757129D0"/>
    <w:rsid w:val="769769BC"/>
    <w:rsid w:val="76E710D0"/>
    <w:rsid w:val="76F14A83"/>
    <w:rsid w:val="778A6A72"/>
    <w:rsid w:val="77F9637D"/>
    <w:rsid w:val="780440DC"/>
    <w:rsid w:val="78F03F20"/>
    <w:rsid w:val="7B696465"/>
    <w:rsid w:val="7C2F5105"/>
    <w:rsid w:val="7CAA3896"/>
    <w:rsid w:val="7D213602"/>
    <w:rsid w:val="7E9603F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qFormat="1"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qFormat="1" w:unhideWhenUsed="0" w:uiPriority="99"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3">
    <w:name w:val="heading 1"/>
    <w:basedOn w:val="1"/>
    <w:next w:val="1"/>
    <w:qFormat/>
    <w:uiPriority w:val="0"/>
    <w:pPr>
      <w:keepNext/>
      <w:keepLines/>
      <w:spacing w:line="576" w:lineRule="auto"/>
      <w:outlineLvl w:val="0"/>
    </w:pPr>
    <w:rPr>
      <w:b/>
      <w:kern w:val="44"/>
      <w:sz w:val="44"/>
    </w:rPr>
  </w:style>
  <w:style w:type="paragraph" w:styleId="4">
    <w:name w:val="heading 2"/>
    <w:basedOn w:val="1"/>
    <w:next w:val="1"/>
    <w:unhideWhenUsed/>
    <w:qFormat/>
    <w:uiPriority w:val="0"/>
    <w:pPr>
      <w:keepNext/>
      <w:keepLines/>
      <w:spacing w:before="260" w:after="260" w:line="416" w:lineRule="auto"/>
      <w:outlineLvl w:val="1"/>
    </w:pPr>
    <w:rPr>
      <w:rFonts w:asciiTheme="majorHAnsi" w:hAnsiTheme="majorHAnsi" w:eastAsiaTheme="majorEastAsia" w:cstheme="majorBidi"/>
      <w:b/>
      <w:bCs/>
      <w:sz w:val="32"/>
      <w:szCs w:val="32"/>
    </w:rPr>
  </w:style>
  <w:style w:type="character" w:default="1" w:styleId="16">
    <w:name w:val="Default Paragraph Font"/>
    <w:semiHidden/>
    <w:unhideWhenUsed/>
    <w:qFormat/>
    <w:uiPriority w:val="1"/>
  </w:style>
  <w:style w:type="table" w:default="1" w:styleId="1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5">
    <w:name w:val="index 6"/>
    <w:basedOn w:val="1"/>
    <w:next w:val="1"/>
    <w:qFormat/>
    <w:uiPriority w:val="0"/>
    <w:pPr>
      <w:ind w:left="2100"/>
    </w:pPr>
  </w:style>
  <w:style w:type="paragraph" w:styleId="6">
    <w:name w:val="Body Text"/>
    <w:basedOn w:val="1"/>
    <w:next w:val="1"/>
    <w:qFormat/>
    <w:uiPriority w:val="0"/>
    <w:pPr>
      <w:spacing w:after="120"/>
    </w:pPr>
    <w:rPr>
      <w:rFonts w:ascii="Calibri" w:hAnsi="Calibri" w:eastAsia="宋体" w:cs="Times New Roman"/>
    </w:rPr>
  </w:style>
  <w:style w:type="paragraph" w:styleId="7">
    <w:name w:val="Plain Text"/>
    <w:basedOn w:val="1"/>
    <w:qFormat/>
    <w:uiPriority w:val="0"/>
    <w:rPr>
      <w:rFonts w:ascii="宋体" w:hAnsi="Courier New" w:cs="Courier New"/>
      <w:szCs w:val="21"/>
    </w:rPr>
  </w:style>
  <w:style w:type="paragraph" w:styleId="8">
    <w:name w:val="Balloon Text"/>
    <w:basedOn w:val="1"/>
    <w:link w:val="21"/>
    <w:qFormat/>
    <w:uiPriority w:val="0"/>
    <w:rPr>
      <w:sz w:val="18"/>
      <w:szCs w:val="18"/>
    </w:rPr>
  </w:style>
  <w:style w:type="paragraph" w:styleId="9">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10">
    <w:name w:val="toc 1"/>
    <w:basedOn w:val="1"/>
    <w:next w:val="1"/>
    <w:qFormat/>
    <w:uiPriority w:val="0"/>
  </w:style>
  <w:style w:type="paragraph" w:styleId="11">
    <w:name w:val="toc 2"/>
    <w:basedOn w:val="1"/>
    <w:next w:val="1"/>
    <w:qFormat/>
    <w:uiPriority w:val="0"/>
    <w:pPr>
      <w:ind w:left="420" w:leftChars="200"/>
    </w:pPr>
  </w:style>
  <w:style w:type="paragraph" w:styleId="12">
    <w:name w:val="Body Text 2"/>
    <w:basedOn w:val="1"/>
    <w:next w:val="1"/>
    <w:qFormat/>
    <w:uiPriority w:val="99"/>
    <w:pPr>
      <w:spacing w:line="460" w:lineRule="atLeast"/>
    </w:pPr>
    <w:rPr>
      <w:rFonts w:ascii="宋体"/>
      <w:color w:val="000000"/>
      <w:sz w:val="24"/>
    </w:rPr>
  </w:style>
  <w:style w:type="paragraph" w:styleId="13">
    <w:name w:val="Normal (Web)"/>
    <w:basedOn w:val="1"/>
    <w:qFormat/>
    <w:uiPriority w:val="0"/>
    <w:pPr>
      <w:spacing w:beforeAutospacing="1" w:afterAutospacing="1"/>
      <w:jc w:val="left"/>
    </w:pPr>
    <w:rPr>
      <w:rFonts w:cs="Times New Roman"/>
      <w:kern w:val="0"/>
      <w:sz w:val="24"/>
    </w:rPr>
  </w:style>
  <w:style w:type="table" w:styleId="15">
    <w:name w:val="Table Grid"/>
    <w:basedOn w:val="1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17">
    <w:name w:val="Hyperlink"/>
    <w:basedOn w:val="16"/>
    <w:qFormat/>
    <w:uiPriority w:val="99"/>
    <w:rPr>
      <w:color w:val="0000FF"/>
      <w:u w:val="single"/>
    </w:rPr>
  </w:style>
  <w:style w:type="paragraph" w:styleId="18">
    <w:name w:val="List Paragraph"/>
    <w:basedOn w:val="1"/>
    <w:qFormat/>
    <w:uiPriority w:val="34"/>
    <w:pPr>
      <w:ind w:firstLine="420" w:firstLineChars="200"/>
    </w:pPr>
  </w:style>
  <w:style w:type="character" w:customStyle="1" w:styleId="19">
    <w:name w:val="font11"/>
    <w:basedOn w:val="16"/>
    <w:qFormat/>
    <w:uiPriority w:val="0"/>
    <w:rPr>
      <w:rFonts w:hint="default" w:ascii="Calibri" w:hAnsi="Calibri" w:cs="Calibri"/>
      <w:color w:val="000000"/>
      <w:sz w:val="20"/>
      <w:szCs w:val="20"/>
      <w:u w:val="none"/>
    </w:rPr>
  </w:style>
  <w:style w:type="character" w:customStyle="1" w:styleId="20">
    <w:name w:val="font21"/>
    <w:basedOn w:val="16"/>
    <w:qFormat/>
    <w:uiPriority w:val="0"/>
    <w:rPr>
      <w:rFonts w:hint="eastAsia" w:ascii="宋体" w:hAnsi="宋体" w:eastAsia="宋体" w:cs="宋体"/>
      <w:color w:val="000000"/>
      <w:sz w:val="20"/>
      <w:szCs w:val="20"/>
      <w:u w:val="none"/>
    </w:rPr>
  </w:style>
  <w:style w:type="character" w:customStyle="1" w:styleId="21">
    <w:name w:val="批注框文本 Char"/>
    <w:basedOn w:val="16"/>
    <w:link w:val="8"/>
    <w:qFormat/>
    <w:uiPriority w:val="0"/>
    <w:rPr>
      <w:rFonts w:asciiTheme="minorHAnsi" w:hAnsiTheme="minorHAnsi" w:eastAsiaTheme="minorEastAsia" w:cstheme="minorBidi"/>
      <w:kern w:val="2"/>
      <w:sz w:val="18"/>
      <w:szCs w:val="18"/>
    </w:rPr>
  </w:style>
  <w:style w:type="character" w:customStyle="1" w:styleId="22">
    <w:name w:val="font31"/>
    <w:basedOn w:val="16"/>
    <w:qFormat/>
    <w:uiPriority w:val="0"/>
    <w:rPr>
      <w:rFonts w:hint="eastAsia" w:ascii="楷体" w:hAnsi="楷体" w:eastAsia="楷体" w:cs="楷体"/>
      <w:b/>
      <w:bCs/>
      <w:color w:val="000000"/>
      <w:sz w:val="20"/>
      <w:szCs w:val="20"/>
      <w:u w:val="none"/>
    </w:rPr>
  </w:style>
  <w:style w:type="character" w:customStyle="1" w:styleId="23">
    <w:name w:val="font51"/>
    <w:basedOn w:val="16"/>
    <w:qFormat/>
    <w:uiPriority w:val="0"/>
    <w:rPr>
      <w:rFonts w:hint="eastAsia" w:ascii="楷体" w:hAnsi="楷体" w:eastAsia="楷体" w:cs="楷体"/>
      <w:color w:val="000000"/>
      <w:sz w:val="20"/>
      <w:szCs w:val="20"/>
      <w:u w:val="none"/>
      <w:vertAlign w:val="superscript"/>
    </w:rPr>
  </w:style>
  <w:style w:type="character" w:customStyle="1" w:styleId="24">
    <w:name w:val="NormalCharacter"/>
    <w:semiHidden/>
    <w:qFormat/>
    <w:uiPriority w:val="0"/>
    <w:rPr>
      <w:rFonts w:asciiTheme="minorHAnsi" w:hAnsiTheme="minorHAnsi" w:eastAsiaTheme="minorEastAsia" w:cstheme="minorBidi"/>
      <w:kern w:val="2"/>
      <w:sz w:val="21"/>
      <w:szCs w:val="24"/>
      <w:lang w:val="en-US" w:eastAsia="zh-CN" w:bidi="ar-SA"/>
    </w:rPr>
  </w:style>
  <w:style w:type="paragraph" w:customStyle="1" w:styleId="25">
    <w:name w:val="自定义样式 正文"/>
    <w:basedOn w:val="1"/>
    <w:qFormat/>
    <w:uiPriority w:val="0"/>
    <w:pPr>
      <w:spacing w:line="360" w:lineRule="auto"/>
      <w:ind w:firstLine="480" w:firstLineChars="200"/>
    </w:pPr>
    <w:rPr>
      <w:rFonts w:eastAsia="仿宋_GB2312" w:cs="宋体"/>
      <w:bCs/>
      <w:sz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jpeg"/><Relationship Id="rId6" Type="http://schemas.openxmlformats.org/officeDocument/2006/relationships/image" Target="media/image2.jpe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2" Type="http://schemas.openxmlformats.org/officeDocument/2006/relationships/fontTable" Target="fontTable.xml"/><Relationship Id="rId11" Type="http://schemas.openxmlformats.org/officeDocument/2006/relationships/customXml" Target="../customXml/item1.xml"/><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18</Pages>
  <Words>4666</Words>
  <Characters>5071</Characters>
  <Lines>279</Lines>
  <Paragraphs>78</Paragraphs>
  <TotalTime>1</TotalTime>
  <ScaleCrop>false</ScaleCrop>
  <LinksUpToDate>false</LinksUpToDate>
  <CharactersWithSpaces>5112</CharactersWithSpaces>
  <Application>WPS Office_11.1.0.14309_F1E327BC-269C-435d-A152-05C5408002CA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2023-02-13T09:53:00Z</dcterms:created>
  <dc:creator>Administrator</dc:creator>
  <cp:lastModifiedBy>菊花大保健丶</cp:lastModifiedBy>
  <cp:lastPrinted>2023-03-01T01:31:00Z</cp:lastPrinted>
  <dcterms:modified xsi:type="dcterms:W3CDTF">2023-08-29T02:15:18Z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7BB6899A82514398BC52D27C46DCC419_13</vt:lpwstr>
  </property>
</Properties>
</file>