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E29DC">
      <w:pPr>
        <w:rPr>
          <w:rFonts w:hint="eastAsia" w:ascii="方正公文小标宋" w:hAnsi="方正公文小标宋" w:eastAsia="方正公文小标宋" w:cs="方正公文小标宋"/>
          <w:sz w:val="28"/>
          <w:szCs w:val="28"/>
        </w:rPr>
      </w:pPr>
      <w:r>
        <w:rPr>
          <w:rFonts w:hint="eastAsia" w:ascii="方正公文小标宋" w:hAnsi="方正公文小标宋" w:eastAsia="方正公文小标宋" w:cs="方正公文小标宋"/>
          <w:sz w:val="28"/>
          <w:szCs w:val="28"/>
        </w:rPr>
        <w:t>附件1</w:t>
      </w:r>
    </w:p>
    <w:p w14:paraId="74FA103D">
      <w:pPr>
        <w:spacing w:line="0" w:lineRule="atLeast"/>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乐山市人民医院</w:t>
      </w:r>
    </w:p>
    <w:p w14:paraId="53C0091F">
      <w:pPr>
        <w:spacing w:line="0" w:lineRule="atLeast"/>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血液透析管理系统维保服务采购项目需求</w:t>
      </w:r>
    </w:p>
    <w:p w14:paraId="22BF743A">
      <w:pPr>
        <w:spacing w:line="360" w:lineRule="auto"/>
        <w:rPr>
          <w:rFonts w:hint="eastAsia" w:ascii="仿宋" w:hAnsi="仿宋" w:eastAsia="仿宋" w:cs="仿宋"/>
          <w:sz w:val="32"/>
          <w:szCs w:val="32"/>
        </w:rPr>
      </w:pPr>
    </w:p>
    <w:p w14:paraId="2C59AA76">
      <w:pPr>
        <w:spacing w:line="360" w:lineRule="auto"/>
        <w:ind w:firstLine="620" w:firstLineChars="200"/>
        <w:rPr>
          <w:rFonts w:hint="eastAsia" w:ascii="仿宋" w:hAnsi="仿宋" w:eastAsia="仿宋" w:cs="仿宋"/>
          <w:color w:val="000000"/>
          <w:sz w:val="31"/>
          <w:szCs w:val="31"/>
        </w:rPr>
      </w:pPr>
      <w:r>
        <w:rPr>
          <w:rFonts w:ascii="仿宋" w:hAnsi="仿宋" w:eastAsia="仿宋" w:cs="仿宋"/>
          <w:color w:val="000000"/>
          <w:sz w:val="31"/>
          <w:szCs w:val="31"/>
        </w:rPr>
        <w:t>为保障乐山市人民医院</w:t>
      </w:r>
      <w:r>
        <w:rPr>
          <w:rFonts w:hint="eastAsia" w:ascii="仿宋" w:hAnsi="仿宋" w:eastAsia="仿宋" w:cs="仿宋"/>
          <w:color w:val="000000"/>
          <w:sz w:val="31"/>
          <w:szCs w:val="31"/>
        </w:rPr>
        <w:t>血液透析管理系统正常运行，我院拟对“血液透析管理系统维保服务采购”项目进行市场调研，现将相关事宜公告如下。</w:t>
      </w:r>
    </w:p>
    <w:tbl>
      <w:tblPr>
        <w:tblStyle w:val="6"/>
        <w:tblpPr w:leftFromText="180" w:rightFromText="180" w:vertAnchor="text" w:horzAnchor="page" w:tblpX="860" w:tblpY="857"/>
        <w:tblOverlap w:val="never"/>
        <w:tblW w:w="1052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906"/>
        <w:gridCol w:w="1265"/>
        <w:gridCol w:w="8350"/>
      </w:tblGrid>
      <w:tr w14:paraId="682D8E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778" w:hRule="atLeast"/>
        </w:trPr>
        <w:tc>
          <w:tcPr>
            <w:tcW w:w="906" w:type="dxa"/>
            <w:tcBorders>
              <w:tl2br w:val="nil"/>
              <w:tr2bl w:val="nil"/>
            </w:tcBorders>
          </w:tcPr>
          <w:p w14:paraId="01E72765">
            <w:pPr>
              <w:pStyle w:val="5"/>
              <w:spacing w:before="317" w:line="189" w:lineRule="auto"/>
              <w:ind w:left="186"/>
              <w:rPr>
                <w:rFonts w:hint="eastAsia"/>
              </w:rPr>
            </w:pPr>
            <w:r>
              <w:rPr>
                <w:b/>
                <w:bCs/>
                <w:spacing w:val="11"/>
              </w:rPr>
              <w:t>序号</w:t>
            </w:r>
          </w:p>
        </w:tc>
        <w:tc>
          <w:tcPr>
            <w:tcW w:w="1265" w:type="dxa"/>
            <w:tcBorders>
              <w:tl2br w:val="nil"/>
              <w:tr2bl w:val="nil"/>
            </w:tcBorders>
          </w:tcPr>
          <w:p w14:paraId="7DB7164C">
            <w:pPr>
              <w:pStyle w:val="5"/>
              <w:spacing w:before="317" w:line="189" w:lineRule="auto"/>
              <w:ind w:left="208"/>
              <w:rPr>
                <w:rFonts w:hint="eastAsia"/>
              </w:rPr>
            </w:pPr>
            <w:r>
              <w:rPr>
                <w:b/>
                <w:bCs/>
                <w:spacing w:val="15"/>
              </w:rPr>
              <w:t>项目名称</w:t>
            </w:r>
          </w:p>
        </w:tc>
        <w:tc>
          <w:tcPr>
            <w:tcW w:w="8350" w:type="dxa"/>
            <w:tcBorders>
              <w:tl2br w:val="nil"/>
              <w:tr2bl w:val="nil"/>
            </w:tcBorders>
          </w:tcPr>
          <w:p w14:paraId="124BAE49">
            <w:pPr>
              <w:pStyle w:val="5"/>
              <w:spacing w:before="317" w:line="189" w:lineRule="auto"/>
              <w:ind w:left="3473"/>
              <w:rPr>
                <w:rFonts w:hint="eastAsia"/>
              </w:rPr>
            </w:pPr>
            <w:r>
              <w:rPr>
                <w:b/>
                <w:bCs/>
                <w:spacing w:val="14"/>
              </w:rPr>
              <w:t>具体内容</w:t>
            </w:r>
          </w:p>
        </w:tc>
      </w:tr>
      <w:tr w14:paraId="0B1EF0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90" w:hRule="atLeast"/>
        </w:trPr>
        <w:tc>
          <w:tcPr>
            <w:tcW w:w="906" w:type="dxa"/>
            <w:tcBorders>
              <w:tl2br w:val="nil"/>
              <w:tr2bl w:val="nil"/>
            </w:tcBorders>
          </w:tcPr>
          <w:p w14:paraId="7773A29C">
            <w:pPr>
              <w:spacing w:line="253" w:lineRule="auto"/>
              <w:jc w:val="left"/>
              <w:rPr>
                <w:rFonts w:asciiTheme="minorEastAsia" w:hAnsiTheme="minorEastAsia"/>
                <w:sz w:val="24"/>
              </w:rPr>
            </w:pPr>
          </w:p>
          <w:p w14:paraId="028772CB">
            <w:pPr>
              <w:spacing w:line="253" w:lineRule="auto"/>
              <w:jc w:val="left"/>
              <w:rPr>
                <w:rFonts w:asciiTheme="minorEastAsia" w:hAnsiTheme="minorEastAsia"/>
                <w:sz w:val="24"/>
              </w:rPr>
            </w:pPr>
          </w:p>
          <w:p w14:paraId="5688F904">
            <w:pPr>
              <w:spacing w:line="253" w:lineRule="auto"/>
              <w:jc w:val="left"/>
              <w:rPr>
                <w:rFonts w:asciiTheme="minorEastAsia" w:hAnsiTheme="minorEastAsia"/>
                <w:sz w:val="24"/>
              </w:rPr>
            </w:pPr>
          </w:p>
          <w:p w14:paraId="519BD99C">
            <w:pPr>
              <w:spacing w:line="253" w:lineRule="auto"/>
              <w:jc w:val="left"/>
              <w:rPr>
                <w:rFonts w:asciiTheme="minorEastAsia" w:hAnsiTheme="minorEastAsia"/>
                <w:sz w:val="24"/>
              </w:rPr>
            </w:pPr>
          </w:p>
          <w:p w14:paraId="17371A92">
            <w:pPr>
              <w:spacing w:line="253" w:lineRule="auto"/>
              <w:jc w:val="left"/>
              <w:rPr>
                <w:rFonts w:asciiTheme="minorEastAsia" w:hAnsiTheme="minorEastAsia"/>
                <w:sz w:val="24"/>
              </w:rPr>
            </w:pPr>
          </w:p>
          <w:p w14:paraId="58CE9421">
            <w:pPr>
              <w:spacing w:line="253" w:lineRule="auto"/>
              <w:jc w:val="left"/>
              <w:rPr>
                <w:rFonts w:asciiTheme="minorEastAsia" w:hAnsiTheme="minorEastAsia"/>
                <w:sz w:val="24"/>
              </w:rPr>
            </w:pPr>
          </w:p>
          <w:p w14:paraId="39A104DD">
            <w:pPr>
              <w:spacing w:line="253" w:lineRule="auto"/>
              <w:jc w:val="left"/>
              <w:rPr>
                <w:rFonts w:asciiTheme="minorEastAsia" w:hAnsiTheme="minorEastAsia"/>
                <w:sz w:val="24"/>
              </w:rPr>
            </w:pPr>
          </w:p>
          <w:p w14:paraId="51813CCD">
            <w:pPr>
              <w:spacing w:line="253" w:lineRule="auto"/>
              <w:jc w:val="left"/>
              <w:rPr>
                <w:rFonts w:asciiTheme="minorEastAsia" w:hAnsiTheme="minorEastAsia"/>
                <w:sz w:val="24"/>
              </w:rPr>
            </w:pPr>
          </w:p>
          <w:p w14:paraId="5976E97C">
            <w:pPr>
              <w:spacing w:line="253" w:lineRule="auto"/>
              <w:jc w:val="left"/>
              <w:rPr>
                <w:rFonts w:asciiTheme="minorEastAsia" w:hAnsiTheme="minorEastAsia"/>
                <w:sz w:val="24"/>
              </w:rPr>
            </w:pPr>
          </w:p>
          <w:p w14:paraId="37CDF96B">
            <w:pPr>
              <w:spacing w:line="254" w:lineRule="auto"/>
              <w:jc w:val="left"/>
              <w:rPr>
                <w:rFonts w:asciiTheme="minorEastAsia" w:hAnsiTheme="minorEastAsia"/>
                <w:sz w:val="24"/>
              </w:rPr>
            </w:pPr>
          </w:p>
          <w:p w14:paraId="12EE974A">
            <w:pPr>
              <w:spacing w:line="254" w:lineRule="auto"/>
              <w:jc w:val="left"/>
              <w:rPr>
                <w:rFonts w:asciiTheme="minorEastAsia" w:hAnsiTheme="minorEastAsia"/>
                <w:sz w:val="24"/>
              </w:rPr>
            </w:pPr>
          </w:p>
          <w:p w14:paraId="5C8331E7">
            <w:pPr>
              <w:spacing w:line="254" w:lineRule="auto"/>
              <w:jc w:val="left"/>
              <w:rPr>
                <w:rFonts w:asciiTheme="minorEastAsia" w:hAnsiTheme="minorEastAsia"/>
                <w:sz w:val="24"/>
              </w:rPr>
            </w:pPr>
          </w:p>
          <w:p w14:paraId="7AC0CD99">
            <w:pPr>
              <w:spacing w:line="254" w:lineRule="auto"/>
              <w:jc w:val="left"/>
              <w:rPr>
                <w:rFonts w:asciiTheme="minorEastAsia" w:hAnsiTheme="minorEastAsia"/>
                <w:sz w:val="24"/>
              </w:rPr>
            </w:pPr>
          </w:p>
          <w:p w14:paraId="16FDF4A6">
            <w:pPr>
              <w:spacing w:line="254" w:lineRule="auto"/>
              <w:jc w:val="left"/>
              <w:rPr>
                <w:rFonts w:asciiTheme="minorEastAsia" w:hAnsiTheme="minorEastAsia"/>
                <w:sz w:val="24"/>
              </w:rPr>
            </w:pPr>
          </w:p>
          <w:p w14:paraId="5BAE247E">
            <w:pPr>
              <w:spacing w:line="254" w:lineRule="auto"/>
              <w:jc w:val="left"/>
              <w:rPr>
                <w:rFonts w:asciiTheme="minorEastAsia" w:hAnsiTheme="minorEastAsia"/>
                <w:sz w:val="24"/>
              </w:rPr>
            </w:pPr>
          </w:p>
          <w:p w14:paraId="740C10CD">
            <w:pPr>
              <w:spacing w:line="254" w:lineRule="auto"/>
              <w:jc w:val="left"/>
              <w:rPr>
                <w:rFonts w:asciiTheme="minorEastAsia" w:hAnsiTheme="minorEastAsia"/>
                <w:sz w:val="24"/>
              </w:rPr>
            </w:pPr>
          </w:p>
          <w:p w14:paraId="6D8AE2ED">
            <w:pPr>
              <w:spacing w:line="254" w:lineRule="auto"/>
              <w:jc w:val="left"/>
              <w:rPr>
                <w:rFonts w:asciiTheme="minorEastAsia" w:hAnsiTheme="minorEastAsia"/>
                <w:sz w:val="24"/>
              </w:rPr>
            </w:pPr>
          </w:p>
          <w:p w14:paraId="02E80A6B">
            <w:pPr>
              <w:pStyle w:val="5"/>
              <w:spacing w:before="81" w:line="350" w:lineRule="exact"/>
              <w:ind w:left="360"/>
              <w:jc w:val="left"/>
              <w:rPr>
                <w:rFonts w:hint="eastAsia" w:asciiTheme="minorEastAsia" w:hAnsiTheme="minorEastAsia" w:eastAsiaTheme="minorEastAsia"/>
                <w:sz w:val="24"/>
                <w:szCs w:val="24"/>
              </w:rPr>
            </w:pPr>
            <w:r>
              <w:rPr>
                <w:rFonts w:asciiTheme="minorEastAsia" w:hAnsiTheme="minorEastAsia" w:eastAsiaTheme="minorEastAsia"/>
                <w:b/>
                <w:bCs/>
                <w:position w:val="3"/>
                <w:sz w:val="24"/>
                <w:szCs w:val="24"/>
              </w:rPr>
              <w:t>1</w:t>
            </w:r>
          </w:p>
        </w:tc>
        <w:tc>
          <w:tcPr>
            <w:tcW w:w="1265" w:type="dxa"/>
            <w:tcBorders>
              <w:tl2br w:val="nil"/>
              <w:tr2bl w:val="nil"/>
            </w:tcBorders>
          </w:tcPr>
          <w:p w14:paraId="17703C31">
            <w:pPr>
              <w:jc w:val="left"/>
              <w:rPr>
                <w:rFonts w:asciiTheme="minorEastAsia" w:hAnsiTheme="minorEastAsia"/>
                <w:sz w:val="24"/>
              </w:rPr>
            </w:pPr>
          </w:p>
          <w:p w14:paraId="5716FBB1">
            <w:pPr>
              <w:jc w:val="left"/>
              <w:rPr>
                <w:rFonts w:asciiTheme="minorEastAsia" w:hAnsiTheme="minorEastAsia"/>
                <w:sz w:val="24"/>
              </w:rPr>
            </w:pPr>
          </w:p>
          <w:p w14:paraId="15C3AB58">
            <w:pPr>
              <w:jc w:val="left"/>
              <w:rPr>
                <w:rFonts w:asciiTheme="minorEastAsia" w:hAnsiTheme="minorEastAsia"/>
                <w:sz w:val="24"/>
              </w:rPr>
            </w:pPr>
          </w:p>
          <w:p w14:paraId="3E752EC7">
            <w:pPr>
              <w:jc w:val="left"/>
              <w:rPr>
                <w:rFonts w:asciiTheme="minorEastAsia" w:hAnsiTheme="minorEastAsia"/>
                <w:sz w:val="24"/>
              </w:rPr>
            </w:pPr>
          </w:p>
          <w:p w14:paraId="52CAA75F">
            <w:pPr>
              <w:jc w:val="left"/>
              <w:rPr>
                <w:rFonts w:asciiTheme="minorEastAsia" w:hAnsiTheme="minorEastAsia"/>
                <w:sz w:val="24"/>
              </w:rPr>
            </w:pPr>
          </w:p>
          <w:p w14:paraId="61EF6CBE">
            <w:pPr>
              <w:jc w:val="left"/>
              <w:rPr>
                <w:rFonts w:asciiTheme="minorEastAsia" w:hAnsiTheme="minorEastAsia"/>
                <w:sz w:val="24"/>
              </w:rPr>
            </w:pPr>
          </w:p>
          <w:p w14:paraId="18A680C4">
            <w:pPr>
              <w:jc w:val="left"/>
              <w:rPr>
                <w:rFonts w:asciiTheme="minorEastAsia" w:hAnsiTheme="minorEastAsia"/>
                <w:sz w:val="24"/>
              </w:rPr>
            </w:pPr>
          </w:p>
          <w:p w14:paraId="7C651636">
            <w:pPr>
              <w:jc w:val="left"/>
              <w:rPr>
                <w:rFonts w:asciiTheme="minorEastAsia" w:hAnsiTheme="minorEastAsia"/>
                <w:sz w:val="24"/>
              </w:rPr>
            </w:pPr>
          </w:p>
          <w:p w14:paraId="30955914">
            <w:pPr>
              <w:jc w:val="left"/>
              <w:rPr>
                <w:rFonts w:asciiTheme="minorEastAsia" w:hAnsiTheme="minorEastAsia"/>
                <w:sz w:val="24"/>
              </w:rPr>
            </w:pPr>
          </w:p>
          <w:p w14:paraId="0BA6F2D2">
            <w:pPr>
              <w:jc w:val="left"/>
              <w:rPr>
                <w:rFonts w:asciiTheme="minorEastAsia" w:hAnsiTheme="minorEastAsia"/>
                <w:sz w:val="24"/>
              </w:rPr>
            </w:pPr>
          </w:p>
          <w:p w14:paraId="75758243">
            <w:pPr>
              <w:jc w:val="left"/>
              <w:rPr>
                <w:rFonts w:asciiTheme="minorEastAsia" w:hAnsiTheme="minorEastAsia"/>
                <w:sz w:val="24"/>
              </w:rPr>
            </w:pPr>
          </w:p>
          <w:p w14:paraId="547E8074">
            <w:pPr>
              <w:jc w:val="left"/>
              <w:rPr>
                <w:rFonts w:asciiTheme="minorEastAsia" w:hAnsiTheme="minorEastAsia"/>
                <w:sz w:val="24"/>
              </w:rPr>
            </w:pPr>
          </w:p>
          <w:p w14:paraId="4C0604B5">
            <w:pPr>
              <w:jc w:val="left"/>
              <w:rPr>
                <w:rFonts w:asciiTheme="minorEastAsia" w:hAnsiTheme="minorEastAsia"/>
                <w:sz w:val="24"/>
              </w:rPr>
            </w:pPr>
          </w:p>
          <w:p w14:paraId="4260D8C2">
            <w:pPr>
              <w:jc w:val="left"/>
              <w:rPr>
                <w:rFonts w:asciiTheme="minorEastAsia" w:hAnsiTheme="minorEastAsia"/>
                <w:sz w:val="24"/>
              </w:rPr>
            </w:pPr>
          </w:p>
          <w:p w14:paraId="42FA14D1">
            <w:pPr>
              <w:jc w:val="left"/>
              <w:rPr>
                <w:rFonts w:asciiTheme="minorEastAsia" w:hAnsiTheme="minorEastAsia"/>
                <w:sz w:val="24"/>
              </w:rPr>
            </w:pPr>
          </w:p>
          <w:p w14:paraId="57007B9F">
            <w:pPr>
              <w:jc w:val="left"/>
              <w:rPr>
                <w:rFonts w:asciiTheme="minorEastAsia" w:hAnsiTheme="minorEastAsia"/>
                <w:sz w:val="24"/>
              </w:rPr>
            </w:pPr>
          </w:p>
          <w:p w14:paraId="37B9C1E5">
            <w:pPr>
              <w:spacing w:line="241" w:lineRule="auto"/>
              <w:jc w:val="left"/>
              <w:rPr>
                <w:rFonts w:asciiTheme="minorEastAsia" w:hAnsiTheme="minorEastAsia"/>
                <w:sz w:val="24"/>
              </w:rPr>
            </w:pPr>
          </w:p>
          <w:p w14:paraId="2B2C0C64">
            <w:pPr>
              <w:spacing w:line="241" w:lineRule="auto"/>
              <w:jc w:val="left"/>
              <w:rPr>
                <w:rFonts w:asciiTheme="minorEastAsia" w:hAnsiTheme="minorEastAsia"/>
                <w:sz w:val="24"/>
              </w:rPr>
            </w:pPr>
          </w:p>
          <w:p w14:paraId="2452CE3D">
            <w:pPr>
              <w:pStyle w:val="5"/>
              <w:spacing w:before="82" w:line="189" w:lineRule="auto"/>
              <w:ind w:left="209"/>
              <w:jc w:val="left"/>
              <w:rPr>
                <w:rFonts w:hint="eastAsia" w:asciiTheme="minorEastAsia" w:hAnsiTheme="minorEastAsia" w:eastAsiaTheme="minorEastAsia"/>
                <w:sz w:val="24"/>
                <w:szCs w:val="24"/>
              </w:rPr>
            </w:pPr>
            <w:r>
              <w:rPr>
                <w:rFonts w:asciiTheme="minorEastAsia" w:hAnsiTheme="minorEastAsia" w:eastAsiaTheme="minorEastAsia"/>
                <w:b/>
                <w:bCs/>
                <w:spacing w:val="14"/>
                <w:sz w:val="24"/>
                <w:szCs w:val="24"/>
              </w:rPr>
              <w:t>技术支持</w:t>
            </w:r>
          </w:p>
        </w:tc>
        <w:tc>
          <w:tcPr>
            <w:tcW w:w="8350" w:type="dxa"/>
            <w:tcBorders>
              <w:tl2br w:val="nil"/>
              <w:tr2bl w:val="nil"/>
            </w:tcBorders>
          </w:tcPr>
          <w:p w14:paraId="3E55519C">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一 、 通过向日葵 、 VPN等远程工具进行服务</w:t>
            </w:r>
            <w:r>
              <w:rPr>
                <w:rFonts w:hint="eastAsia"/>
                <w:spacing w:val="8"/>
                <w:lang w:eastAsia="zh-CN"/>
              </w:rPr>
              <w:t>，</w:t>
            </w:r>
            <w:r>
              <w:rPr>
                <w:spacing w:val="8"/>
                <w:lang w:eastAsia="zh-CN"/>
              </w:rPr>
              <w:t>保证血透室反馈的问题能够及时完成处理 。在周末及节假日期间提供专人值班服务</w:t>
            </w:r>
            <w:r>
              <w:rPr>
                <w:rFonts w:hint="eastAsia"/>
                <w:spacing w:val="8"/>
                <w:lang w:eastAsia="zh-CN"/>
              </w:rPr>
              <w:t>，</w:t>
            </w:r>
            <w:r>
              <w:rPr>
                <w:spacing w:val="8"/>
                <w:lang w:eastAsia="zh-CN"/>
              </w:rPr>
              <w:t>保证周末及节假日为血透室提供各项服务：</w:t>
            </w:r>
          </w:p>
          <w:p w14:paraId="2647B503">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 、通过远程的方式为医院相关使用人员解答系统功能使用方面的问题;</w:t>
            </w:r>
          </w:p>
          <w:p w14:paraId="46B30590">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  通过远程的方式为血透室解答业务数据方面相关问题， 为精准的数据质量提供保障。</w:t>
            </w:r>
          </w:p>
          <w:p w14:paraId="7F1CBFE2">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二、 为使用科室提供咨询解答服务，保障院内日常监测工作的开展：</w:t>
            </w:r>
          </w:p>
          <w:p w14:paraId="52D12AD0">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1、通过远程的方式为血透室提供解读预警诊断服务;</w:t>
            </w:r>
          </w:p>
          <w:p w14:paraId="27216EE2">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 、通过远程的方式为血透室提供解读系统各统计界面报表统计服务;</w:t>
            </w:r>
          </w:p>
          <w:p w14:paraId="0C23027E">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3 、通过远程的方式为医院相关使用人员提供系统各功能模块的功能讲解服务</w:t>
            </w:r>
            <w:r>
              <w:rPr>
                <w:rFonts w:hint="eastAsia"/>
                <w:spacing w:val="8"/>
                <w:lang w:eastAsia="zh-CN"/>
              </w:rPr>
              <w:t>，</w:t>
            </w:r>
            <w:r>
              <w:rPr>
                <w:spacing w:val="8"/>
                <w:lang w:eastAsia="zh-CN"/>
              </w:rPr>
              <w:t xml:space="preserve"> 保障使用人员对于系统功能的正常使用;</w:t>
            </w:r>
          </w:p>
          <w:p w14:paraId="2BEEE24F">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4 、为血透室讲解各项血透监测业务，涵盖业务背景 、 监测难点 、常见问题；基于各项业务的监测难点和常见问题</w:t>
            </w:r>
            <w:r>
              <w:rPr>
                <w:rFonts w:hint="eastAsia"/>
                <w:spacing w:val="8"/>
                <w:lang w:eastAsia="zh-CN"/>
              </w:rPr>
              <w:t>，</w:t>
            </w:r>
            <w:r>
              <w:rPr>
                <w:spacing w:val="8"/>
                <w:lang w:eastAsia="zh-CN"/>
              </w:rPr>
              <w:t>结合区域内监测方向和要求</w:t>
            </w:r>
            <w:r>
              <w:rPr>
                <w:rFonts w:hint="eastAsia"/>
                <w:spacing w:val="8"/>
                <w:lang w:eastAsia="zh-CN"/>
              </w:rPr>
              <w:t>，</w:t>
            </w:r>
            <w:r>
              <w:rPr>
                <w:spacing w:val="8"/>
                <w:lang w:eastAsia="zh-CN"/>
              </w:rPr>
              <w:t>提供专业化建议。</w:t>
            </w:r>
          </w:p>
          <w:p w14:paraId="532027C9">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三、提供系统数据恢复及系统迁移服务：</w:t>
            </w:r>
          </w:p>
          <w:p w14:paraId="494FFAE0">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 、根据医院目前实际拥有的备份文件内容，在医院存在需求的情况下</w:t>
            </w:r>
            <w:r>
              <w:rPr>
                <w:rFonts w:hint="eastAsia"/>
                <w:spacing w:val="8"/>
                <w:lang w:eastAsia="zh-CN"/>
              </w:rPr>
              <w:t>，</w:t>
            </w:r>
            <w:r>
              <w:rPr>
                <w:spacing w:val="8"/>
                <w:lang w:eastAsia="zh-CN"/>
              </w:rPr>
              <w:t>对数据内 容还原恢复至特定时间点，有效保证数据的完整性；</w:t>
            </w:r>
          </w:p>
          <w:p w14:paraId="62F9DBF6">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 、根据医院的需求，对业务系统进行迁移部署， 并完成系统调试工作，确保使用正常。</w:t>
            </w:r>
          </w:p>
          <w:p w14:paraId="7ED9FD3E">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四、当医院NIS服务器出现宕机情况时</w:t>
            </w:r>
            <w:r>
              <w:rPr>
                <w:rFonts w:hint="eastAsia"/>
                <w:spacing w:val="8"/>
                <w:lang w:eastAsia="zh-CN"/>
              </w:rPr>
              <w:t>，</w:t>
            </w:r>
            <w:r>
              <w:rPr>
                <w:spacing w:val="8"/>
                <w:lang w:eastAsia="zh-CN"/>
              </w:rPr>
              <w:t>修复血透服务器并完成数据恢复及更新，确保服务器恢复正常。</w:t>
            </w:r>
          </w:p>
          <w:p w14:paraId="47D778B7">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五、为血透室讲解系统功能及应用，保障专职人员对系统熟练使用</w:t>
            </w:r>
          </w:p>
          <w:p w14:paraId="532E1814">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1、血透系统使用流程的培训：</w:t>
            </w:r>
          </w:p>
          <w:p w14:paraId="5BFDB3CF">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1.1 、如何进行血透病例查询及上报；</w:t>
            </w:r>
          </w:p>
          <w:p w14:paraId="5FD6A516">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1.2 、结合系统讲解如何统计</w:t>
            </w:r>
            <w:r>
              <w:rPr>
                <w:rFonts w:hint="eastAsia"/>
                <w:spacing w:val="8"/>
                <w:lang w:eastAsia="zh-CN"/>
              </w:rPr>
              <w:t>透析器</w:t>
            </w:r>
            <w:r>
              <w:rPr>
                <w:spacing w:val="8"/>
                <w:lang w:eastAsia="zh-CN"/>
              </w:rPr>
              <w:t>、</w:t>
            </w:r>
            <w:r>
              <w:rPr>
                <w:rFonts w:hint="eastAsia"/>
                <w:spacing w:val="8"/>
                <w:lang w:eastAsia="zh-CN"/>
              </w:rPr>
              <w:t>管路</w:t>
            </w:r>
            <w:r>
              <w:rPr>
                <w:spacing w:val="8"/>
                <w:lang w:eastAsia="zh-CN"/>
              </w:rPr>
              <w:t>、手术、药物等相关指标；</w:t>
            </w:r>
          </w:p>
          <w:p w14:paraId="535D9A8A">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asciiTheme="minorEastAsia" w:hAnsiTheme="minorEastAsia" w:eastAsiaTheme="minorEastAsia"/>
                <w:sz w:val="24"/>
                <w:szCs w:val="24"/>
                <w:lang w:eastAsia="zh-CN"/>
              </w:rPr>
            </w:pPr>
            <w:r>
              <w:rPr>
                <w:spacing w:val="8"/>
                <w:lang w:eastAsia="zh-CN"/>
              </w:rPr>
              <w:t>1.3 、根据工作需求提供相关</w:t>
            </w:r>
            <w:r>
              <w:rPr>
                <w:rFonts w:hint="eastAsia"/>
                <w:spacing w:val="8"/>
                <w:lang w:eastAsia="zh-CN"/>
              </w:rPr>
              <w:t>业务</w:t>
            </w:r>
            <w:r>
              <w:rPr>
                <w:spacing w:val="8"/>
                <w:lang w:eastAsia="zh-CN"/>
              </w:rPr>
              <w:t>建议作为参考</w:t>
            </w:r>
            <w:r>
              <w:rPr>
                <w:rFonts w:hint="eastAsia"/>
                <w:spacing w:val="8"/>
                <w:lang w:eastAsia="zh-CN"/>
              </w:rPr>
              <w:t>，</w:t>
            </w:r>
            <w:r>
              <w:rPr>
                <w:spacing w:val="8"/>
                <w:lang w:eastAsia="zh-CN"/>
              </w:rPr>
              <w:t xml:space="preserve"> 帮助血透室快速上手使用；</w:t>
            </w:r>
          </w:p>
        </w:tc>
      </w:tr>
    </w:tbl>
    <w:p w14:paraId="70BE8A95">
      <w:pPr>
        <w:jc w:val="left"/>
        <w:rPr>
          <w:rFonts w:asciiTheme="minorEastAsia" w:hAnsiTheme="minorEastAsia"/>
          <w:sz w:val="24"/>
        </w:rPr>
      </w:pPr>
    </w:p>
    <w:p w14:paraId="5B07BA81">
      <w:pPr>
        <w:spacing w:before="3"/>
        <w:jc w:val="left"/>
        <w:rPr>
          <w:rFonts w:asciiTheme="minorEastAsia" w:hAnsiTheme="minorEastAsia"/>
          <w:sz w:val="24"/>
        </w:rPr>
      </w:pPr>
      <w:r>
        <w:rPr>
          <w:rFonts w:hint="eastAsia" w:asciiTheme="minorEastAsia" w:hAnsiTheme="minorEastAsia"/>
          <w:sz w:val="24"/>
        </w:rPr>
        <w:t xml:space="preserve">     服务年限：3年</w:t>
      </w:r>
    </w:p>
    <w:tbl>
      <w:tblPr>
        <w:tblStyle w:val="6"/>
        <w:tblpPr w:leftFromText="180" w:rightFromText="180" w:vertAnchor="text" w:horzAnchor="page" w:tblpX="875" w:tblpY="749"/>
        <w:tblOverlap w:val="never"/>
        <w:tblW w:w="9830" w:type="dxa"/>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
      <w:tblGrid>
        <w:gridCol w:w="789"/>
        <w:gridCol w:w="1265"/>
        <w:gridCol w:w="7776"/>
      </w:tblGrid>
      <w:tr w14:paraId="45E46B0D">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0" w:type="dxa"/>
            <w:bottom w:w="0" w:type="dxa"/>
            <w:right w:w="0" w:type="dxa"/>
          </w:tblCellMar>
        </w:tblPrEx>
        <w:trPr>
          <w:trHeight w:val="11407" w:hRule="atLeast"/>
        </w:trPr>
        <w:tc>
          <w:tcPr>
            <w:tcW w:w="789" w:type="dxa"/>
            <w:tcBorders>
              <w:tl2br w:val="nil"/>
              <w:tr2bl w:val="nil"/>
            </w:tcBorders>
          </w:tcPr>
          <w:p w14:paraId="1C48D12B">
            <w:pPr>
              <w:pBdr>
                <w:top w:val="none" w:color="auto" w:sz="0" w:space="1"/>
                <w:left w:val="none" w:color="auto" w:sz="0" w:space="4"/>
                <w:bottom w:val="none" w:color="auto" w:sz="0" w:space="1"/>
                <w:right w:val="none" w:color="auto" w:sz="0" w:space="4"/>
              </w:pBdr>
              <w:jc w:val="left"/>
              <w:rPr>
                <w:rFonts w:asciiTheme="minorEastAsia" w:hAnsiTheme="minorEastAsia"/>
                <w:sz w:val="24"/>
              </w:rPr>
            </w:pPr>
          </w:p>
        </w:tc>
        <w:tc>
          <w:tcPr>
            <w:tcW w:w="1265" w:type="dxa"/>
            <w:tcBorders>
              <w:tl2br w:val="nil"/>
              <w:tr2bl w:val="nil"/>
            </w:tcBorders>
          </w:tcPr>
          <w:p w14:paraId="05E2451E">
            <w:pPr>
              <w:pBdr>
                <w:top w:val="none" w:color="auto" w:sz="0" w:space="1"/>
                <w:left w:val="none" w:color="auto" w:sz="0" w:space="4"/>
                <w:bottom w:val="none" w:color="auto" w:sz="0" w:space="1"/>
                <w:right w:val="none" w:color="auto" w:sz="0" w:space="4"/>
              </w:pBdr>
              <w:jc w:val="left"/>
              <w:rPr>
                <w:rFonts w:asciiTheme="minorEastAsia" w:hAnsiTheme="minorEastAsia"/>
                <w:sz w:val="24"/>
              </w:rPr>
            </w:pPr>
          </w:p>
        </w:tc>
        <w:tc>
          <w:tcPr>
            <w:tcW w:w="7776" w:type="dxa"/>
            <w:tcBorders>
              <w:tl2br w:val="nil"/>
              <w:tr2bl w:val="nil"/>
            </w:tcBorders>
          </w:tcPr>
          <w:p w14:paraId="5956EF0E">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2、讲解系统各功能模块操作使用，让血透室人员能够熟练操作系统各功能界面；</w:t>
            </w:r>
          </w:p>
          <w:p w14:paraId="1E221728">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3 、基于各项业务的</w:t>
            </w:r>
            <w:r>
              <w:rPr>
                <w:rFonts w:hint="eastAsia"/>
                <w:spacing w:val="8"/>
                <w:lang w:eastAsia="zh-CN"/>
              </w:rPr>
              <w:t>使用</w:t>
            </w:r>
            <w:r>
              <w:rPr>
                <w:spacing w:val="8"/>
                <w:lang w:eastAsia="zh-CN"/>
              </w:rPr>
              <w:t>难点和常见问题</w:t>
            </w:r>
            <w:r>
              <w:rPr>
                <w:rFonts w:hint="eastAsia"/>
                <w:spacing w:val="8"/>
                <w:lang w:eastAsia="zh-CN"/>
              </w:rPr>
              <w:t>，</w:t>
            </w:r>
            <w:r>
              <w:rPr>
                <w:spacing w:val="8"/>
                <w:lang w:eastAsia="zh-CN"/>
              </w:rPr>
              <w:t>结合区域内</w:t>
            </w:r>
            <w:r>
              <w:rPr>
                <w:rFonts w:hint="eastAsia"/>
                <w:spacing w:val="8"/>
                <w:lang w:eastAsia="zh-CN"/>
              </w:rPr>
              <w:t>使用</w:t>
            </w:r>
            <w:r>
              <w:rPr>
                <w:spacing w:val="8"/>
                <w:lang w:eastAsia="zh-CN"/>
              </w:rPr>
              <w:t>方向和要求</w:t>
            </w:r>
            <w:r>
              <w:rPr>
                <w:rFonts w:hint="eastAsia"/>
                <w:spacing w:val="8"/>
                <w:lang w:eastAsia="zh-CN"/>
              </w:rPr>
              <w:t>，</w:t>
            </w:r>
            <w:r>
              <w:rPr>
                <w:spacing w:val="8"/>
                <w:lang w:eastAsia="zh-CN"/>
              </w:rPr>
              <w:t>提供本区域内执行较好的</w:t>
            </w:r>
            <w:r>
              <w:rPr>
                <w:rFonts w:hint="eastAsia"/>
                <w:spacing w:val="8"/>
                <w:lang w:eastAsia="zh-CN"/>
              </w:rPr>
              <w:t>血透</w:t>
            </w:r>
            <w:r>
              <w:rPr>
                <w:spacing w:val="8"/>
                <w:lang w:eastAsia="zh-CN"/>
              </w:rPr>
              <w:t>方案作为参考</w:t>
            </w:r>
            <w:r>
              <w:rPr>
                <w:rFonts w:hint="eastAsia"/>
                <w:spacing w:val="8"/>
                <w:lang w:eastAsia="zh-CN"/>
              </w:rPr>
              <w:t>，</w:t>
            </w:r>
            <w:r>
              <w:rPr>
                <w:spacing w:val="8"/>
                <w:lang w:eastAsia="zh-CN"/>
              </w:rPr>
              <w:t>并结合医院情况给出整改建议</w:t>
            </w:r>
            <w:r>
              <w:rPr>
                <w:rFonts w:hint="eastAsia"/>
                <w:spacing w:val="8"/>
                <w:lang w:eastAsia="zh-CN"/>
              </w:rPr>
              <w:t>，</w:t>
            </w:r>
            <w:r>
              <w:rPr>
                <w:spacing w:val="8"/>
                <w:lang w:eastAsia="zh-CN"/>
              </w:rPr>
              <w:t>如：如何提高 送检率；如何</w:t>
            </w:r>
            <w:r>
              <w:rPr>
                <w:rFonts w:hint="eastAsia"/>
                <w:spacing w:val="8"/>
                <w:lang w:eastAsia="zh-CN"/>
              </w:rPr>
              <w:t>降低并发症等</w:t>
            </w:r>
            <w:r>
              <w:rPr>
                <w:spacing w:val="8"/>
                <w:lang w:eastAsia="zh-CN"/>
              </w:rPr>
              <w:t>情况。</w:t>
            </w:r>
          </w:p>
          <w:p w14:paraId="1835D2B8">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六、安排人员对信息科的系统维护人员进行系统基础操作培训：</w:t>
            </w:r>
          </w:p>
          <w:p w14:paraId="24C916DC">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1.提供管理员权限和新建账号功能；</w:t>
            </w:r>
          </w:p>
          <w:p w14:paraId="4AB82779">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2.备份以及重启服务；</w:t>
            </w:r>
          </w:p>
          <w:p w14:paraId="19872844">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3.提供操作文档并按客户需求进行远程指导；</w:t>
            </w:r>
          </w:p>
          <w:p w14:paraId="33201A44">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4.根据血透</w:t>
            </w:r>
            <w:r>
              <w:rPr>
                <w:rFonts w:hint="eastAsia"/>
                <w:spacing w:val="8"/>
                <w:lang w:eastAsia="zh-CN"/>
              </w:rPr>
              <w:t>系统</w:t>
            </w:r>
            <w:r>
              <w:rPr>
                <w:spacing w:val="8"/>
                <w:lang w:eastAsia="zh-CN"/>
              </w:rPr>
              <w:t>需求给到信息科相关整改建议。</w:t>
            </w:r>
          </w:p>
          <w:p w14:paraId="5410F00E">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七、通过电话、腾讯会议、线上沟通等方式对临床医生/护士进行系统培训：</w:t>
            </w:r>
          </w:p>
          <w:p w14:paraId="0D4EBB1E">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1.如何进行血透病例查询及上报；</w:t>
            </w:r>
          </w:p>
          <w:p w14:paraId="1C12FC58">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2.如何使用功能模块进行</w:t>
            </w:r>
            <w:r>
              <w:rPr>
                <w:rFonts w:hint="eastAsia"/>
                <w:spacing w:val="8"/>
                <w:lang w:eastAsia="zh-CN"/>
              </w:rPr>
              <w:t>透析上机</w:t>
            </w:r>
            <w:r>
              <w:rPr>
                <w:spacing w:val="8"/>
                <w:lang w:eastAsia="zh-CN"/>
              </w:rPr>
              <w:t>、</w:t>
            </w:r>
            <w:r>
              <w:rPr>
                <w:rFonts w:hint="eastAsia"/>
                <w:spacing w:val="8"/>
                <w:lang w:eastAsia="zh-CN"/>
              </w:rPr>
              <w:t>透中护理</w:t>
            </w:r>
            <w:r>
              <w:rPr>
                <w:spacing w:val="8"/>
                <w:lang w:eastAsia="zh-CN"/>
              </w:rPr>
              <w:t>、</w:t>
            </w:r>
            <w:r>
              <w:rPr>
                <w:rFonts w:hint="eastAsia"/>
                <w:spacing w:val="8"/>
                <w:lang w:eastAsia="zh-CN"/>
              </w:rPr>
              <w:t>血透电子病历</w:t>
            </w:r>
            <w:r>
              <w:rPr>
                <w:spacing w:val="8"/>
                <w:lang w:eastAsia="zh-CN"/>
              </w:rPr>
              <w:t>等临床端界面功能；</w:t>
            </w:r>
          </w:p>
          <w:p w14:paraId="3C3EE78F">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3. 临床端如何统计</w:t>
            </w:r>
            <w:r>
              <w:rPr>
                <w:rFonts w:hint="eastAsia"/>
                <w:spacing w:val="8"/>
                <w:lang w:eastAsia="zh-CN"/>
              </w:rPr>
              <w:t>透析器、管路、手术、药物</w:t>
            </w:r>
            <w:r>
              <w:rPr>
                <w:spacing w:val="8"/>
                <w:lang w:eastAsia="zh-CN"/>
              </w:rPr>
              <w:t>相关指标统计。</w:t>
            </w:r>
          </w:p>
          <w:p w14:paraId="4B54C0C3">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八、提供满足当前区域监测要求的优质血透监测工作开展方案，包括：</w:t>
            </w:r>
          </w:p>
          <w:p w14:paraId="6307C2B3">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1、提供医院所在区域个性化的预警监测功能推荐；</w:t>
            </w:r>
          </w:p>
          <w:p w14:paraId="13A33450">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2、提供满足区域监测要求的日常病例监测管理方案；</w:t>
            </w:r>
          </w:p>
          <w:p w14:paraId="0689568B">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3 、结合日常医院监测内容，提供对数据质量的提升方案。</w:t>
            </w:r>
          </w:p>
          <w:p w14:paraId="1B6D9CEE">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rFonts w:hint="eastAsia"/>
                <w:spacing w:val="8"/>
                <w:lang w:eastAsia="zh-CN"/>
              </w:rPr>
              <w:t>九</w:t>
            </w:r>
            <w:r>
              <w:rPr>
                <w:spacing w:val="8"/>
                <w:lang w:eastAsia="zh-CN"/>
              </w:rPr>
              <w:t>、配合血透室专职人员协助各项检查及评审工作</w:t>
            </w:r>
            <w:r>
              <w:rPr>
                <w:rFonts w:hint="eastAsia"/>
                <w:spacing w:val="8"/>
                <w:lang w:eastAsia="zh-CN"/>
              </w:rPr>
              <w:t>，</w:t>
            </w:r>
            <w:r>
              <w:rPr>
                <w:spacing w:val="8"/>
                <w:lang w:eastAsia="zh-CN"/>
              </w:rPr>
              <w:t>提供以下服务内容：</w:t>
            </w:r>
          </w:p>
          <w:p w14:paraId="3FF1BEF1">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1、支持提供等级评审血透相关具体要求和标准；</w:t>
            </w:r>
          </w:p>
          <w:p w14:paraId="176FAD42">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2、支持提供等级医院评审血透相关条款解读；</w:t>
            </w:r>
          </w:p>
          <w:p w14:paraId="4A55DAB4">
            <w:pPr>
              <w:pStyle w:val="5"/>
              <w:pBdr>
                <w:top w:val="none" w:color="auto" w:sz="0" w:space="1"/>
                <w:left w:val="none" w:color="auto" w:sz="0" w:space="4"/>
                <w:bottom w:val="none" w:color="auto" w:sz="0" w:space="1"/>
                <w:right w:val="none" w:color="auto" w:sz="0" w:space="4"/>
              </w:pBdr>
              <w:spacing w:before="43" w:line="234" w:lineRule="auto"/>
              <w:ind w:left="138"/>
              <w:jc w:val="left"/>
              <w:rPr>
                <w:spacing w:val="8"/>
                <w:lang w:eastAsia="zh-CN"/>
              </w:rPr>
            </w:pPr>
            <w:r>
              <w:rPr>
                <w:spacing w:val="8"/>
                <w:lang w:eastAsia="zh-CN"/>
              </w:rPr>
              <w:t>3、支持提供针对评审数据的核查工作</w:t>
            </w:r>
            <w:r>
              <w:rPr>
                <w:rFonts w:hint="eastAsia"/>
                <w:spacing w:val="8"/>
                <w:lang w:eastAsia="zh-CN"/>
              </w:rPr>
              <w:t>，</w:t>
            </w:r>
            <w:r>
              <w:rPr>
                <w:spacing w:val="8"/>
                <w:lang w:eastAsia="zh-CN"/>
              </w:rPr>
              <w:t>确保数据的准确性,完整性；</w:t>
            </w:r>
          </w:p>
          <w:p w14:paraId="2832E030">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4、支持提供各类评审血透相关的应对检查方案；</w:t>
            </w:r>
          </w:p>
          <w:p w14:paraId="42CF4E81">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5、根据评审结果</w:t>
            </w:r>
            <w:r>
              <w:rPr>
                <w:rFonts w:hint="eastAsia"/>
                <w:spacing w:val="8"/>
                <w:lang w:eastAsia="zh-CN"/>
              </w:rPr>
              <w:t>，</w:t>
            </w:r>
            <w:r>
              <w:rPr>
                <w:spacing w:val="8"/>
                <w:lang w:eastAsia="zh-CN"/>
              </w:rPr>
              <w:t>协助血透制定改进计划和措施。</w:t>
            </w:r>
          </w:p>
          <w:p w14:paraId="26038621">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十、根据医院已有业务系统的情况提供数据质量校准方案， 为血透监测工作提供准确的数据基础</w:t>
            </w:r>
            <w:r>
              <w:rPr>
                <w:rFonts w:hint="eastAsia"/>
                <w:spacing w:val="8"/>
                <w:lang w:eastAsia="zh-CN"/>
              </w:rPr>
              <w:t>，</w:t>
            </w:r>
            <w:r>
              <w:rPr>
                <w:spacing w:val="8"/>
                <w:lang w:eastAsia="zh-CN"/>
              </w:rPr>
              <w:t>保障血透监测工作的有效开展</w:t>
            </w:r>
            <w:r>
              <w:rPr>
                <w:rFonts w:hint="eastAsia"/>
                <w:spacing w:val="8"/>
                <w:lang w:eastAsia="zh-CN"/>
              </w:rPr>
              <w:t>，</w:t>
            </w:r>
            <w:r>
              <w:rPr>
                <w:spacing w:val="8"/>
                <w:lang w:eastAsia="zh-CN"/>
              </w:rPr>
              <w:t>确保医院数据的一致性和准确性。</w:t>
            </w:r>
          </w:p>
          <w:p w14:paraId="703D5C9A">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十</w:t>
            </w:r>
            <w:r>
              <w:rPr>
                <w:rFonts w:hint="eastAsia"/>
                <w:spacing w:val="8"/>
                <w:lang w:eastAsia="zh-CN"/>
              </w:rPr>
              <w:t>一</w:t>
            </w:r>
            <w:r>
              <w:rPr>
                <w:spacing w:val="8"/>
                <w:lang w:eastAsia="zh-CN"/>
              </w:rPr>
              <w:t>、每年</w:t>
            </w:r>
            <w:r>
              <w:rPr>
                <w:rFonts w:hint="eastAsia"/>
                <w:spacing w:val="8"/>
                <w:lang w:eastAsia="zh-CN"/>
              </w:rPr>
              <w:t>至少一次</w:t>
            </w:r>
            <w:r>
              <w:rPr>
                <w:spacing w:val="8"/>
                <w:lang w:eastAsia="zh-CN"/>
              </w:rPr>
              <w:t>对服务器运行环境进行巡检</w:t>
            </w:r>
            <w:r>
              <w:rPr>
                <w:rFonts w:hint="eastAsia"/>
                <w:spacing w:val="8"/>
                <w:lang w:eastAsia="zh-CN"/>
              </w:rPr>
              <w:t>，</w:t>
            </w:r>
            <w:r>
              <w:rPr>
                <w:spacing w:val="8"/>
                <w:lang w:eastAsia="zh-CN"/>
              </w:rPr>
              <w:t>巡检内容包括 ：服务器内存情况评估、硬盘情况评估、系统运行稳定性评估等，有效避免并解决：</w:t>
            </w:r>
          </w:p>
          <w:p w14:paraId="7D167E1F">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1、服务器磁盘空间不足问题</w:t>
            </w:r>
          </w:p>
          <w:p w14:paraId="62F166F7">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2、服务器系统运行卡顿问题</w:t>
            </w:r>
          </w:p>
          <w:p w14:paraId="62080DBC">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3、服务器安全方面防护问题</w:t>
            </w:r>
          </w:p>
          <w:p w14:paraId="4F5BC4AE">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asciiTheme="minorEastAsia" w:hAnsiTheme="minorEastAsia" w:eastAsiaTheme="minorEastAsia"/>
                <w:sz w:val="24"/>
                <w:szCs w:val="24"/>
                <w:lang w:eastAsia="zh-CN"/>
              </w:rPr>
            </w:pPr>
            <w:r>
              <w:rPr>
                <w:spacing w:val="8"/>
                <w:lang w:eastAsia="zh-CN"/>
              </w:rPr>
              <w:t>十</w:t>
            </w:r>
            <w:r>
              <w:rPr>
                <w:rFonts w:hint="eastAsia"/>
                <w:spacing w:val="8"/>
                <w:lang w:eastAsia="zh-CN"/>
              </w:rPr>
              <w:t>二</w:t>
            </w:r>
            <w:r>
              <w:rPr>
                <w:spacing w:val="8"/>
                <w:lang w:eastAsia="zh-CN"/>
              </w:rPr>
              <w:t>、每</w:t>
            </w:r>
            <w:r>
              <w:rPr>
                <w:rFonts w:hint="eastAsia"/>
                <w:spacing w:val="8"/>
                <w:lang w:eastAsia="zh-CN"/>
              </w:rPr>
              <w:t>年</w:t>
            </w:r>
            <w:r>
              <w:rPr>
                <w:spacing w:val="8"/>
                <w:lang w:eastAsia="zh-CN"/>
              </w:rPr>
              <w:t>进行巡查服务器系统备份机制</w:t>
            </w:r>
            <w:r>
              <w:rPr>
                <w:rFonts w:hint="eastAsia"/>
                <w:spacing w:val="8"/>
                <w:lang w:eastAsia="zh-CN"/>
              </w:rPr>
              <w:t>，</w:t>
            </w:r>
            <w:r>
              <w:rPr>
                <w:spacing w:val="8"/>
                <w:lang w:eastAsia="zh-CN"/>
              </w:rPr>
              <w:t xml:space="preserve"> 并出具专业化的数据备份巡检报告。</w:t>
            </w:r>
          </w:p>
        </w:tc>
      </w:tr>
    </w:tbl>
    <w:p w14:paraId="687BB2DA">
      <w:pPr>
        <w:pBdr>
          <w:top w:val="none" w:color="auto" w:sz="0" w:space="1"/>
          <w:left w:val="none" w:color="auto" w:sz="0" w:space="4"/>
          <w:bottom w:val="none" w:color="auto" w:sz="0" w:space="1"/>
          <w:right w:val="none" w:color="auto" w:sz="0" w:space="4"/>
        </w:pBdr>
        <w:spacing w:before="3"/>
        <w:jc w:val="left"/>
      </w:pPr>
    </w:p>
    <w:p w14:paraId="0D5E5F61">
      <w:pPr>
        <w:pBdr>
          <w:top w:val="none" w:color="auto" w:sz="0" w:space="1"/>
          <w:left w:val="none" w:color="auto" w:sz="0" w:space="4"/>
          <w:bottom w:val="none" w:color="auto" w:sz="0" w:space="1"/>
          <w:right w:val="none" w:color="auto" w:sz="0" w:space="4"/>
        </w:pBdr>
        <w:spacing w:before="3"/>
        <w:jc w:val="left"/>
      </w:pPr>
    </w:p>
    <w:p w14:paraId="3F7251E8">
      <w:pPr>
        <w:pBdr>
          <w:top w:val="none" w:color="auto" w:sz="0" w:space="1"/>
          <w:left w:val="none" w:color="auto" w:sz="0" w:space="4"/>
          <w:bottom w:val="none" w:color="auto" w:sz="0" w:space="1"/>
          <w:right w:val="none" w:color="auto" w:sz="0" w:space="4"/>
        </w:pBdr>
        <w:jc w:val="left"/>
        <w:rPr>
          <w:rFonts w:ascii="Arial"/>
        </w:rPr>
      </w:pPr>
      <w:bookmarkStart w:id="0" w:name="_GoBack"/>
      <w:bookmarkEnd w:id="0"/>
    </w:p>
    <w:p w14:paraId="6A7BE424">
      <w:pPr>
        <w:pBdr>
          <w:top w:val="none" w:color="auto" w:sz="0" w:space="1"/>
          <w:left w:val="none" w:color="auto" w:sz="0" w:space="4"/>
          <w:bottom w:val="none" w:color="auto" w:sz="0" w:space="1"/>
          <w:right w:val="none" w:color="auto" w:sz="0" w:space="4"/>
        </w:pBdr>
        <w:jc w:val="left"/>
        <w:rPr>
          <w:rFonts w:ascii="Arial" w:hAnsi="Arial" w:eastAsia="Arial" w:cs="Arial"/>
          <w:szCs w:val="21"/>
        </w:rPr>
        <w:sectPr>
          <w:headerReference r:id="rId3" w:type="default"/>
          <w:pgSz w:w="11906" w:h="16840"/>
          <w:pgMar w:top="400" w:right="177" w:bottom="0" w:left="480" w:header="0" w:footer="0" w:gutter="0"/>
          <w:cols w:space="720" w:num="1"/>
        </w:sectPr>
      </w:pPr>
    </w:p>
    <w:tbl>
      <w:tblPr>
        <w:tblStyle w:val="6"/>
        <w:tblpPr w:leftFromText="180" w:rightFromText="180" w:vertAnchor="text" w:horzAnchor="margin" w:tblpXSpec="center" w:tblpY="337"/>
        <w:tblOverlap w:val="never"/>
        <w:tblW w:w="983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789"/>
        <w:gridCol w:w="1266"/>
        <w:gridCol w:w="7776"/>
      </w:tblGrid>
      <w:tr w14:paraId="36102E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3640" w:hRule="atLeast"/>
        </w:trPr>
        <w:tc>
          <w:tcPr>
            <w:tcW w:w="789" w:type="dxa"/>
            <w:vMerge w:val="restart"/>
            <w:tcBorders>
              <w:tl2br w:val="nil"/>
              <w:tr2bl w:val="nil"/>
            </w:tcBorders>
          </w:tcPr>
          <w:p w14:paraId="5FCFE468">
            <w:pPr>
              <w:pBdr>
                <w:top w:val="none" w:color="auto" w:sz="0" w:space="1"/>
                <w:left w:val="none" w:color="auto" w:sz="0" w:space="4"/>
                <w:bottom w:val="none" w:color="auto" w:sz="0" w:space="1"/>
                <w:right w:val="none" w:color="auto" w:sz="0" w:space="4"/>
              </w:pBdr>
              <w:jc w:val="left"/>
              <w:rPr>
                <w:rFonts w:ascii="Arial"/>
              </w:rPr>
            </w:pPr>
          </w:p>
        </w:tc>
        <w:tc>
          <w:tcPr>
            <w:tcW w:w="1266" w:type="dxa"/>
            <w:tcBorders>
              <w:tl2br w:val="nil"/>
              <w:tr2bl w:val="nil"/>
            </w:tcBorders>
          </w:tcPr>
          <w:p w14:paraId="457A41BF">
            <w:pPr>
              <w:pBdr>
                <w:top w:val="none" w:color="auto" w:sz="0" w:space="1"/>
                <w:left w:val="none" w:color="auto" w:sz="0" w:space="4"/>
                <w:bottom w:val="none" w:color="auto" w:sz="0" w:space="1"/>
                <w:right w:val="none" w:color="auto" w:sz="0" w:space="4"/>
              </w:pBdr>
              <w:spacing w:line="276" w:lineRule="auto"/>
              <w:jc w:val="left"/>
              <w:rPr>
                <w:rFonts w:ascii="Arial"/>
              </w:rPr>
            </w:pPr>
          </w:p>
          <w:p w14:paraId="7E391FAA">
            <w:pPr>
              <w:pBdr>
                <w:top w:val="none" w:color="auto" w:sz="0" w:space="1"/>
                <w:left w:val="none" w:color="auto" w:sz="0" w:space="4"/>
                <w:bottom w:val="none" w:color="auto" w:sz="0" w:space="1"/>
                <w:right w:val="none" w:color="auto" w:sz="0" w:space="4"/>
              </w:pBdr>
              <w:spacing w:line="276" w:lineRule="auto"/>
              <w:jc w:val="left"/>
              <w:rPr>
                <w:rFonts w:ascii="Arial"/>
              </w:rPr>
            </w:pPr>
          </w:p>
          <w:p w14:paraId="7080B072">
            <w:pPr>
              <w:pBdr>
                <w:top w:val="none" w:color="auto" w:sz="0" w:space="1"/>
                <w:left w:val="none" w:color="auto" w:sz="0" w:space="4"/>
                <w:bottom w:val="none" w:color="auto" w:sz="0" w:space="1"/>
                <w:right w:val="none" w:color="auto" w:sz="0" w:space="4"/>
              </w:pBdr>
              <w:spacing w:line="276" w:lineRule="auto"/>
              <w:jc w:val="left"/>
              <w:rPr>
                <w:rFonts w:ascii="Arial"/>
              </w:rPr>
            </w:pPr>
          </w:p>
          <w:p w14:paraId="13FDF0A4">
            <w:pPr>
              <w:pBdr>
                <w:top w:val="none" w:color="auto" w:sz="0" w:space="1"/>
                <w:left w:val="none" w:color="auto" w:sz="0" w:space="4"/>
                <w:bottom w:val="none" w:color="auto" w:sz="0" w:space="1"/>
                <w:right w:val="none" w:color="auto" w:sz="0" w:space="4"/>
              </w:pBdr>
              <w:spacing w:line="276" w:lineRule="auto"/>
              <w:jc w:val="left"/>
              <w:rPr>
                <w:rFonts w:ascii="Arial"/>
              </w:rPr>
            </w:pPr>
          </w:p>
          <w:p w14:paraId="1005745C">
            <w:pPr>
              <w:pBdr>
                <w:top w:val="none" w:color="auto" w:sz="0" w:space="1"/>
                <w:left w:val="none" w:color="auto" w:sz="0" w:space="4"/>
                <w:bottom w:val="none" w:color="auto" w:sz="0" w:space="1"/>
                <w:right w:val="none" w:color="auto" w:sz="0" w:space="4"/>
              </w:pBdr>
              <w:spacing w:line="277" w:lineRule="auto"/>
              <w:jc w:val="left"/>
              <w:rPr>
                <w:rFonts w:ascii="Arial"/>
              </w:rPr>
            </w:pPr>
          </w:p>
          <w:p w14:paraId="3C4DAA6A">
            <w:pPr>
              <w:pBdr>
                <w:top w:val="none" w:color="auto" w:sz="0" w:space="1"/>
                <w:left w:val="none" w:color="auto" w:sz="0" w:space="4"/>
                <w:bottom w:val="none" w:color="auto" w:sz="0" w:space="1"/>
                <w:right w:val="none" w:color="auto" w:sz="0" w:space="4"/>
              </w:pBdr>
              <w:spacing w:line="277" w:lineRule="auto"/>
              <w:jc w:val="left"/>
              <w:rPr>
                <w:rFonts w:ascii="Arial"/>
              </w:rPr>
            </w:pPr>
          </w:p>
          <w:p w14:paraId="0A8F78CE">
            <w:pPr>
              <w:pStyle w:val="5"/>
              <w:pBdr>
                <w:top w:val="none" w:color="auto" w:sz="0" w:space="1"/>
                <w:left w:val="none" w:color="auto" w:sz="0" w:space="4"/>
                <w:bottom w:val="none" w:color="auto" w:sz="0" w:space="1"/>
                <w:right w:val="none" w:color="auto" w:sz="0" w:space="4"/>
              </w:pBdr>
              <w:spacing w:before="82" w:line="189" w:lineRule="auto"/>
              <w:ind w:left="208"/>
              <w:jc w:val="left"/>
              <w:rPr>
                <w:rFonts w:hint="eastAsia"/>
              </w:rPr>
            </w:pPr>
            <w:r>
              <w:rPr>
                <w:b/>
                <w:bCs/>
                <w:spacing w:val="15"/>
              </w:rPr>
              <w:t>现场服务</w:t>
            </w:r>
          </w:p>
        </w:tc>
        <w:tc>
          <w:tcPr>
            <w:tcW w:w="7776" w:type="dxa"/>
            <w:tcBorders>
              <w:tl2br w:val="nil"/>
              <w:tr2bl w:val="nil"/>
            </w:tcBorders>
          </w:tcPr>
          <w:p w14:paraId="3D1A3793">
            <w:pPr>
              <w:pStyle w:val="5"/>
              <w:pBdr>
                <w:top w:val="none" w:color="auto" w:sz="0" w:space="1"/>
                <w:left w:val="none" w:color="auto" w:sz="0" w:space="4"/>
                <w:bottom w:val="none" w:color="auto" w:sz="0" w:space="1"/>
                <w:right w:val="none" w:color="auto" w:sz="0" w:space="4"/>
              </w:pBdr>
              <w:spacing w:before="43" w:line="234" w:lineRule="auto"/>
              <w:jc w:val="left"/>
              <w:rPr>
                <w:rFonts w:hint="eastAsia"/>
                <w:spacing w:val="8"/>
                <w:lang w:eastAsia="zh-CN"/>
              </w:rPr>
            </w:pPr>
            <w:r>
              <w:rPr>
                <w:spacing w:val="8"/>
                <w:lang w:eastAsia="zh-CN"/>
              </w:rPr>
              <w:t>安排工程师进行现场服务</w:t>
            </w:r>
            <w:r>
              <w:rPr>
                <w:rFonts w:hint="eastAsia"/>
                <w:spacing w:val="8"/>
                <w:lang w:eastAsia="zh-CN"/>
              </w:rPr>
              <w:t>，</w:t>
            </w:r>
            <w:r>
              <w:rPr>
                <w:spacing w:val="8"/>
                <w:lang w:eastAsia="zh-CN"/>
              </w:rPr>
              <w:t>并提供以下服务内容：</w:t>
            </w:r>
          </w:p>
          <w:p w14:paraId="31D2D9D8">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1、调查医院各项工作目前业务流程以及存在问题， 协助血透室利用系统开展各项 血透监测工作并提出专业化改进建议；</w:t>
            </w:r>
          </w:p>
          <w:p w14:paraId="00FC0C56">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2、明确医院目前信息化建设情况，结合血透监测工作提供信息化方面的建议；</w:t>
            </w:r>
          </w:p>
          <w:p w14:paraId="6072030D">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3、完成数据准确性核查，确保系统稳定；</w:t>
            </w:r>
          </w:p>
          <w:p w14:paraId="10EBF254">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4、完成血透室专职人员培训，推进专职人员能通过系统高效开展工作；</w:t>
            </w:r>
          </w:p>
          <w:p w14:paraId="46BC2EF9">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5、完成临床专职人员培训，推进临床专职工作人员通过系统上报血透病例工作；</w:t>
            </w:r>
          </w:p>
          <w:p w14:paraId="3C62D19C">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6、配合医院完成评审相关工作。</w:t>
            </w:r>
          </w:p>
        </w:tc>
      </w:tr>
      <w:tr w14:paraId="008A6A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5089" w:hRule="atLeast"/>
        </w:trPr>
        <w:tc>
          <w:tcPr>
            <w:tcW w:w="789" w:type="dxa"/>
            <w:vMerge w:val="continue"/>
            <w:tcBorders>
              <w:tl2br w:val="nil"/>
              <w:tr2bl w:val="nil"/>
            </w:tcBorders>
          </w:tcPr>
          <w:p w14:paraId="25D9B1FA">
            <w:pPr>
              <w:pBdr>
                <w:top w:val="none" w:color="auto" w:sz="0" w:space="1"/>
                <w:left w:val="none" w:color="auto" w:sz="0" w:space="4"/>
                <w:bottom w:val="none" w:color="auto" w:sz="0" w:space="1"/>
                <w:right w:val="none" w:color="auto" w:sz="0" w:space="4"/>
              </w:pBdr>
              <w:jc w:val="left"/>
              <w:rPr>
                <w:rFonts w:ascii="Arial"/>
              </w:rPr>
            </w:pPr>
          </w:p>
        </w:tc>
        <w:tc>
          <w:tcPr>
            <w:tcW w:w="1266" w:type="dxa"/>
            <w:tcBorders>
              <w:tl2br w:val="nil"/>
              <w:tr2bl w:val="nil"/>
            </w:tcBorders>
          </w:tcPr>
          <w:p w14:paraId="2B8D9558">
            <w:pPr>
              <w:pBdr>
                <w:top w:val="none" w:color="auto" w:sz="0" w:space="1"/>
                <w:left w:val="none" w:color="auto" w:sz="0" w:space="4"/>
                <w:bottom w:val="none" w:color="auto" w:sz="0" w:space="1"/>
                <w:right w:val="none" w:color="auto" w:sz="0" w:space="4"/>
              </w:pBdr>
              <w:spacing w:line="264" w:lineRule="auto"/>
              <w:jc w:val="left"/>
              <w:rPr>
                <w:rFonts w:ascii="Arial"/>
              </w:rPr>
            </w:pPr>
          </w:p>
          <w:p w14:paraId="71A71C6B">
            <w:pPr>
              <w:pBdr>
                <w:top w:val="none" w:color="auto" w:sz="0" w:space="1"/>
                <w:left w:val="none" w:color="auto" w:sz="0" w:space="4"/>
                <w:bottom w:val="none" w:color="auto" w:sz="0" w:space="1"/>
                <w:right w:val="none" w:color="auto" w:sz="0" w:space="4"/>
              </w:pBdr>
              <w:spacing w:line="264" w:lineRule="auto"/>
              <w:jc w:val="left"/>
              <w:rPr>
                <w:rFonts w:ascii="Arial"/>
              </w:rPr>
            </w:pPr>
          </w:p>
          <w:p w14:paraId="32FA31B4">
            <w:pPr>
              <w:pBdr>
                <w:top w:val="none" w:color="auto" w:sz="0" w:space="1"/>
                <w:left w:val="none" w:color="auto" w:sz="0" w:space="4"/>
                <w:bottom w:val="none" w:color="auto" w:sz="0" w:space="1"/>
                <w:right w:val="none" w:color="auto" w:sz="0" w:space="4"/>
              </w:pBdr>
              <w:spacing w:line="264" w:lineRule="auto"/>
              <w:jc w:val="left"/>
              <w:rPr>
                <w:rFonts w:ascii="Arial"/>
              </w:rPr>
            </w:pPr>
          </w:p>
          <w:p w14:paraId="4351918B">
            <w:pPr>
              <w:pBdr>
                <w:top w:val="none" w:color="auto" w:sz="0" w:space="1"/>
                <w:left w:val="none" w:color="auto" w:sz="0" w:space="4"/>
                <w:bottom w:val="none" w:color="auto" w:sz="0" w:space="1"/>
                <w:right w:val="none" w:color="auto" w:sz="0" w:space="4"/>
              </w:pBdr>
              <w:spacing w:line="264" w:lineRule="auto"/>
              <w:jc w:val="left"/>
              <w:rPr>
                <w:rFonts w:ascii="Arial"/>
              </w:rPr>
            </w:pPr>
          </w:p>
          <w:p w14:paraId="2B496274">
            <w:pPr>
              <w:pBdr>
                <w:top w:val="none" w:color="auto" w:sz="0" w:space="1"/>
                <w:left w:val="none" w:color="auto" w:sz="0" w:space="4"/>
                <w:bottom w:val="none" w:color="auto" w:sz="0" w:space="1"/>
                <w:right w:val="none" w:color="auto" w:sz="0" w:space="4"/>
              </w:pBdr>
              <w:spacing w:line="264" w:lineRule="auto"/>
              <w:jc w:val="left"/>
              <w:rPr>
                <w:rFonts w:ascii="Arial"/>
              </w:rPr>
            </w:pPr>
          </w:p>
          <w:p w14:paraId="3952D7A1">
            <w:pPr>
              <w:pBdr>
                <w:top w:val="none" w:color="auto" w:sz="0" w:space="1"/>
                <w:left w:val="none" w:color="auto" w:sz="0" w:space="4"/>
                <w:bottom w:val="none" w:color="auto" w:sz="0" w:space="1"/>
                <w:right w:val="none" w:color="auto" w:sz="0" w:space="4"/>
              </w:pBdr>
              <w:spacing w:line="264" w:lineRule="auto"/>
              <w:jc w:val="left"/>
              <w:rPr>
                <w:rFonts w:ascii="Arial"/>
              </w:rPr>
            </w:pPr>
          </w:p>
          <w:p w14:paraId="3A270D03">
            <w:pPr>
              <w:pBdr>
                <w:top w:val="none" w:color="auto" w:sz="0" w:space="1"/>
                <w:left w:val="none" w:color="auto" w:sz="0" w:space="4"/>
                <w:bottom w:val="none" w:color="auto" w:sz="0" w:space="1"/>
                <w:right w:val="none" w:color="auto" w:sz="0" w:space="4"/>
              </w:pBdr>
              <w:spacing w:line="264" w:lineRule="auto"/>
              <w:jc w:val="left"/>
              <w:rPr>
                <w:rFonts w:ascii="Arial"/>
              </w:rPr>
            </w:pPr>
          </w:p>
          <w:p w14:paraId="072AF78C">
            <w:pPr>
              <w:pBdr>
                <w:top w:val="none" w:color="auto" w:sz="0" w:space="1"/>
                <w:left w:val="none" w:color="auto" w:sz="0" w:space="4"/>
                <w:bottom w:val="none" w:color="auto" w:sz="0" w:space="1"/>
                <w:right w:val="none" w:color="auto" w:sz="0" w:space="4"/>
              </w:pBdr>
              <w:spacing w:line="264" w:lineRule="auto"/>
              <w:jc w:val="left"/>
              <w:rPr>
                <w:rFonts w:ascii="Arial"/>
              </w:rPr>
            </w:pPr>
          </w:p>
          <w:p w14:paraId="166765F7">
            <w:pPr>
              <w:pBdr>
                <w:top w:val="none" w:color="auto" w:sz="0" w:space="1"/>
                <w:left w:val="none" w:color="auto" w:sz="0" w:space="4"/>
                <w:bottom w:val="none" w:color="auto" w:sz="0" w:space="1"/>
                <w:right w:val="none" w:color="auto" w:sz="0" w:space="4"/>
              </w:pBdr>
              <w:spacing w:line="264" w:lineRule="auto"/>
              <w:jc w:val="left"/>
              <w:rPr>
                <w:rFonts w:ascii="Arial"/>
              </w:rPr>
            </w:pPr>
          </w:p>
          <w:p w14:paraId="17BF7FBD">
            <w:pPr>
              <w:pStyle w:val="5"/>
              <w:pBdr>
                <w:top w:val="none" w:color="auto" w:sz="0" w:space="1"/>
                <w:left w:val="none" w:color="auto" w:sz="0" w:space="4"/>
                <w:bottom w:val="none" w:color="auto" w:sz="0" w:space="1"/>
                <w:right w:val="none" w:color="auto" w:sz="0" w:space="4"/>
              </w:pBdr>
              <w:spacing w:before="81" w:line="190" w:lineRule="auto"/>
              <w:ind w:left="208"/>
              <w:jc w:val="left"/>
              <w:rPr>
                <w:rFonts w:hint="eastAsia"/>
              </w:rPr>
            </w:pPr>
            <w:r>
              <w:rPr>
                <w:b/>
                <w:bCs/>
                <w:spacing w:val="15"/>
              </w:rPr>
              <w:t>系统升级</w:t>
            </w:r>
          </w:p>
        </w:tc>
        <w:tc>
          <w:tcPr>
            <w:tcW w:w="7776" w:type="dxa"/>
            <w:tcBorders>
              <w:tl2br w:val="nil"/>
              <w:tr2bl w:val="nil"/>
            </w:tcBorders>
          </w:tcPr>
          <w:p w14:paraId="28942252">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安排工程师为医院进行系统升级</w:t>
            </w:r>
            <w:r>
              <w:rPr>
                <w:rFonts w:hint="eastAsia"/>
                <w:spacing w:val="8"/>
                <w:lang w:eastAsia="zh-CN"/>
              </w:rPr>
              <w:t>，</w:t>
            </w:r>
            <w:r>
              <w:rPr>
                <w:spacing w:val="8"/>
                <w:lang w:eastAsia="zh-CN"/>
              </w:rPr>
              <w:t>提供各项升级后的服务内容：</w:t>
            </w:r>
          </w:p>
          <w:p w14:paraId="55F56128">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1、优化系统现有功能</w:t>
            </w:r>
            <w:r>
              <w:rPr>
                <w:rFonts w:hint="eastAsia"/>
                <w:spacing w:val="8"/>
                <w:lang w:eastAsia="zh-CN"/>
              </w:rPr>
              <w:t>，</w:t>
            </w:r>
            <w:r>
              <w:rPr>
                <w:spacing w:val="8"/>
                <w:lang w:eastAsia="zh-CN"/>
              </w:rPr>
              <w:t>提高使用科室工作效率并提升系统使用稳定性；</w:t>
            </w:r>
          </w:p>
          <w:p w14:paraId="419D0C4E">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2、提供契合于国家最新血透监测规范的各类功能模块 ；</w:t>
            </w:r>
          </w:p>
          <w:p w14:paraId="40EDDED5">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3、根据医院血透工作开展要求</w:t>
            </w:r>
            <w:r>
              <w:rPr>
                <w:rFonts w:hint="eastAsia"/>
                <w:spacing w:val="8"/>
                <w:lang w:eastAsia="zh-CN"/>
              </w:rPr>
              <w:t>，</w:t>
            </w:r>
            <w:r>
              <w:rPr>
                <w:spacing w:val="8"/>
                <w:lang w:eastAsia="zh-CN"/>
              </w:rPr>
              <w:t xml:space="preserve"> 配置</w:t>
            </w:r>
            <w:r>
              <w:rPr>
                <w:rFonts w:hint="eastAsia"/>
                <w:spacing w:val="8"/>
                <w:lang w:eastAsia="zh-CN"/>
              </w:rPr>
              <w:t>SOP</w:t>
            </w:r>
            <w:r>
              <w:rPr>
                <w:spacing w:val="8"/>
                <w:lang w:eastAsia="zh-CN"/>
              </w:rPr>
              <w:t>相关报表</w:t>
            </w:r>
            <w:r>
              <w:rPr>
                <w:rFonts w:hint="eastAsia"/>
                <w:spacing w:val="8"/>
                <w:lang w:eastAsia="zh-CN"/>
              </w:rPr>
              <w:t>，</w:t>
            </w:r>
            <w:r>
              <w:rPr>
                <w:spacing w:val="8"/>
                <w:lang w:eastAsia="zh-CN"/>
              </w:rPr>
              <w:t xml:space="preserve"> </w:t>
            </w:r>
            <w:r>
              <w:rPr>
                <w:rFonts w:hint="eastAsia"/>
                <w:spacing w:val="8"/>
                <w:lang w:eastAsia="zh-CN"/>
              </w:rPr>
              <w:t>包括新入血液透析患者血源性传染病标志物检验完成率、维持性血液透析患者血源性传染病标志物定时检验完成率、血液透析治疗室消毒合格率、透析用水微生物污染检验合格率、维持性血液透析患者乙型肝炎和丙型肝炎发病率、ktv 达标率、urr 达标率、透析间期体重增长控制率、动静内瘘长期生存率、血常规定时检验完成率、血液生化定时检验完成率、全段甲状旁腺激素定时检验完成率、血清铁蛋白和转铁蛋白饱和度定时检验完成率、血清前白蛋白定时检验完成率、C 反应蛋白定时检验完成率</w:t>
            </w:r>
            <w:r>
              <w:rPr>
                <w:spacing w:val="8"/>
                <w:lang w:eastAsia="zh-CN"/>
              </w:rPr>
              <w:t>， 并进行后续相关报表维护。</w:t>
            </w:r>
          </w:p>
        </w:tc>
      </w:tr>
      <w:tr w14:paraId="58CB48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764" w:hRule="atLeast"/>
        </w:trPr>
        <w:tc>
          <w:tcPr>
            <w:tcW w:w="789" w:type="dxa"/>
            <w:vMerge w:val="continue"/>
            <w:tcBorders>
              <w:tl2br w:val="nil"/>
              <w:tr2bl w:val="nil"/>
            </w:tcBorders>
          </w:tcPr>
          <w:p w14:paraId="592BF5EB">
            <w:pPr>
              <w:pBdr>
                <w:top w:val="none" w:color="auto" w:sz="0" w:space="1"/>
                <w:left w:val="none" w:color="auto" w:sz="0" w:space="4"/>
                <w:bottom w:val="none" w:color="auto" w:sz="0" w:space="1"/>
                <w:right w:val="none" w:color="auto" w:sz="0" w:space="4"/>
              </w:pBdr>
              <w:jc w:val="left"/>
              <w:rPr>
                <w:rFonts w:ascii="Arial"/>
              </w:rPr>
            </w:pPr>
          </w:p>
        </w:tc>
        <w:tc>
          <w:tcPr>
            <w:tcW w:w="1266" w:type="dxa"/>
            <w:tcBorders>
              <w:tl2br w:val="nil"/>
              <w:tr2bl w:val="nil"/>
            </w:tcBorders>
          </w:tcPr>
          <w:p w14:paraId="06862E9D">
            <w:pPr>
              <w:pStyle w:val="5"/>
              <w:pBdr>
                <w:top w:val="none" w:color="auto" w:sz="0" w:space="1"/>
                <w:left w:val="none" w:color="auto" w:sz="0" w:space="4"/>
                <w:bottom w:val="none" w:color="auto" w:sz="0" w:space="1"/>
                <w:right w:val="none" w:color="auto" w:sz="0" w:space="4"/>
              </w:pBdr>
              <w:spacing w:before="82" w:line="189" w:lineRule="auto"/>
              <w:ind w:left="207"/>
              <w:jc w:val="left"/>
              <w:rPr>
                <w:rFonts w:hint="eastAsia"/>
              </w:rPr>
            </w:pPr>
            <w:r>
              <w:rPr>
                <w:b/>
                <w:bCs/>
                <w:spacing w:val="15"/>
              </w:rPr>
              <w:t>数据上报</w:t>
            </w:r>
          </w:p>
        </w:tc>
        <w:tc>
          <w:tcPr>
            <w:tcW w:w="7776" w:type="dxa"/>
            <w:tcBorders>
              <w:tl2br w:val="nil"/>
              <w:tr2bl w:val="nil"/>
            </w:tcBorders>
          </w:tcPr>
          <w:p w14:paraId="64B6EDBD">
            <w:pPr>
              <w:pStyle w:val="5"/>
              <w:pBdr>
                <w:top w:val="none" w:color="auto" w:sz="0" w:space="1"/>
                <w:left w:val="none" w:color="auto" w:sz="0" w:space="4"/>
                <w:bottom w:val="none" w:color="auto" w:sz="0" w:space="1"/>
                <w:right w:val="none" w:color="auto" w:sz="0" w:space="4"/>
              </w:pBdr>
              <w:spacing w:before="43" w:line="234" w:lineRule="auto"/>
              <w:ind w:left="138"/>
              <w:jc w:val="left"/>
              <w:rPr>
                <w:rFonts w:hint="eastAsia"/>
                <w:spacing w:val="8"/>
                <w:lang w:eastAsia="zh-CN"/>
              </w:rPr>
            </w:pPr>
            <w:r>
              <w:rPr>
                <w:spacing w:val="8"/>
                <w:lang w:eastAsia="zh-CN"/>
              </w:rPr>
              <w:t>根据区域数据上报要求，协助医院完成</w:t>
            </w:r>
            <w:r>
              <w:rPr>
                <w:rFonts w:hint="eastAsia"/>
                <w:spacing w:val="8"/>
                <w:lang w:eastAsia="zh-CN"/>
              </w:rPr>
              <w:t>国家质控以及四川省质控</w:t>
            </w:r>
            <w:r>
              <w:rPr>
                <w:spacing w:val="8"/>
                <w:lang w:eastAsia="zh-CN"/>
              </w:rPr>
              <w:t>数据上报。</w:t>
            </w:r>
          </w:p>
        </w:tc>
      </w:tr>
    </w:tbl>
    <w:p w14:paraId="41658872">
      <w:pPr>
        <w:spacing w:line="360" w:lineRule="auto"/>
        <w:jc w:val="left"/>
        <w:rPr>
          <w:rFonts w:hint="eastAsia" w:ascii="仿宋" w:hAnsi="仿宋" w:eastAsia="仿宋" w:cs="仿宋"/>
          <w:color w:val="000000"/>
          <w:sz w:val="31"/>
          <w:szCs w:val="3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5A05092-549C-43FD-925A-55421174E32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公文小标宋">
    <w:altName w:val="微软雅黑"/>
    <w:panose1 w:val="00000000000000000000"/>
    <w:charset w:val="86"/>
    <w:family w:val="auto"/>
    <w:pitch w:val="default"/>
    <w:sig w:usb0="00000000" w:usb1="00000000" w:usb2="00000016" w:usb3="00000000" w:csb0="00040001" w:csb1="00000000"/>
    <w:embedRegular r:id="rId2" w:fontKey="{C3E06310-D35B-41FE-9908-4060C121127B}"/>
  </w:font>
  <w:font w:name="仿宋">
    <w:panose1 w:val="02010609060101010101"/>
    <w:charset w:val="86"/>
    <w:family w:val="modern"/>
    <w:pitch w:val="default"/>
    <w:sig w:usb0="800002BF" w:usb1="38CF7CFA" w:usb2="00000016" w:usb3="00000000" w:csb0="00040001" w:csb1="00000000"/>
    <w:embedRegular r:id="rId3" w:fontKey="{6B5ED006-4302-4F23-B995-65A84157114B}"/>
  </w:font>
  <w:font w:name="KSOFBE44C569">
    <w:panose1 w:val="020B0503020204020204"/>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3BDE">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9F7894"/>
    <w:rsid w:val="000B571F"/>
    <w:rsid w:val="00182E27"/>
    <w:rsid w:val="00242E5B"/>
    <w:rsid w:val="003B2928"/>
    <w:rsid w:val="00915666"/>
    <w:rsid w:val="009862E6"/>
    <w:rsid w:val="00AE0F83"/>
    <w:rsid w:val="00D25E3C"/>
    <w:rsid w:val="03BC13AE"/>
    <w:rsid w:val="05261733"/>
    <w:rsid w:val="06344E0E"/>
    <w:rsid w:val="0A716D95"/>
    <w:rsid w:val="0E8D2CE9"/>
    <w:rsid w:val="139F7894"/>
    <w:rsid w:val="33433B48"/>
    <w:rsid w:val="521A547C"/>
    <w:rsid w:val="5AB03121"/>
    <w:rsid w:val="7407369F"/>
    <w:rsid w:val="7AD65B35"/>
    <w:rsid w:val="7C540886"/>
    <w:rsid w:val="7FEF2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Text"/>
    <w:basedOn w:val="1"/>
    <w:semiHidden/>
    <w:qFormat/>
    <w:uiPriority w:val="0"/>
    <w:rPr>
      <w:rFonts w:ascii="微软雅黑" w:hAnsi="微软雅黑" w:eastAsia="微软雅黑" w:cs="微软雅黑"/>
      <w:sz w:val="19"/>
      <w:szCs w:val="19"/>
      <w:lang w:eastAsia="en-US"/>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2145</Words>
  <Characters>2168</Characters>
  <Lines>16</Lines>
  <Paragraphs>4</Paragraphs>
  <TotalTime>4</TotalTime>
  <ScaleCrop>false</ScaleCrop>
  <LinksUpToDate>false</LinksUpToDate>
  <CharactersWithSpaces>2236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2026-01-19T07:27:00Z</dcterms:created>
  <dc:creator>张怡</dc:creator>
  <cp:lastModifiedBy>上帝</cp:lastModifiedBy>
  <cp:lastPrinted>2026-02-10T03:11:34Z</cp:lastPrinted>
  <dcterms:modified xsi:type="dcterms:W3CDTF">2026-02-10T03:41:12Z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497D173446A64B9FAA022F8CF28E375B_13</vt:lpwstr>
  </property>
  <property fmtid="{D5CDD505-2E9C-101B-9397-08002B2CF9AE}" pid="4" name="KSOTemplateDocerSaveRecord">
    <vt:lpwstr>eyJoZGlkIjoiN2UzNGNkZWJlNjNjNjIyOTVhOWJlOTFkY2U0OTk4OWIiLCJ1c2VySWQiOiIzMTgxNzc0OTAifQ==</vt:lpwstr>
  </property>
</Properties>
</file>