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A103D">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乐山市人民医院</w:t>
      </w:r>
    </w:p>
    <w:p w14:paraId="53C0091F">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VTE</w:t>
      </w:r>
      <w:r>
        <w:rPr>
          <w:rFonts w:hint="eastAsia" w:ascii="宋体" w:hAnsi="宋体" w:eastAsia="宋体" w:cs="宋体"/>
          <w:b w:val="0"/>
          <w:bCs w:val="0"/>
          <w:sz w:val="44"/>
          <w:szCs w:val="44"/>
          <w:lang w:val="en-US" w:eastAsia="zh-CN"/>
        </w:rPr>
        <w:t>系统维保服务采购</w:t>
      </w:r>
      <w:r>
        <w:rPr>
          <w:rFonts w:hint="eastAsia" w:ascii="宋体" w:hAnsi="宋体" w:eastAsia="宋体" w:cs="宋体"/>
          <w:sz w:val="44"/>
          <w:szCs w:val="44"/>
          <w:lang w:val="en-US" w:eastAsia="zh-CN"/>
        </w:rPr>
        <w:t>项目需求</w:t>
      </w:r>
    </w:p>
    <w:p w14:paraId="22BF74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32"/>
          <w:szCs w:val="32"/>
          <w:lang w:val="en-US" w:eastAsia="zh-CN"/>
        </w:rPr>
      </w:pPr>
    </w:p>
    <w:p w14:paraId="2C59AA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i w:val="0"/>
          <w:iCs w:val="0"/>
          <w:caps w:val="0"/>
          <w:color w:val="000000"/>
          <w:spacing w:val="0"/>
          <w:sz w:val="28"/>
          <w:szCs w:val="28"/>
          <w:vertAlign w:val="baseline"/>
        </w:rPr>
      </w:pPr>
      <w:r>
        <w:rPr>
          <w:rFonts w:ascii="仿宋" w:hAnsi="仿宋" w:eastAsia="仿宋" w:cs="仿宋"/>
          <w:i w:val="0"/>
          <w:iCs w:val="0"/>
          <w:caps w:val="0"/>
          <w:color w:val="000000"/>
          <w:spacing w:val="0"/>
          <w:sz w:val="28"/>
          <w:szCs w:val="28"/>
          <w:vertAlign w:val="baseline"/>
        </w:rPr>
        <w:t>为保障乐山市人民医院</w:t>
      </w:r>
      <w:r>
        <w:rPr>
          <w:rFonts w:hint="eastAsia" w:ascii="仿宋" w:hAnsi="仿宋" w:eastAsia="仿宋" w:cs="仿宋"/>
          <w:i w:val="0"/>
          <w:iCs w:val="0"/>
          <w:caps w:val="0"/>
          <w:color w:val="000000"/>
          <w:spacing w:val="0"/>
          <w:sz w:val="28"/>
          <w:szCs w:val="28"/>
          <w:vertAlign w:val="baseline"/>
          <w:lang w:val="en-US" w:eastAsia="zh-CN"/>
        </w:rPr>
        <w:t>VTE系统</w:t>
      </w:r>
      <w:r>
        <w:rPr>
          <w:rFonts w:hint="eastAsia" w:ascii="仿宋" w:hAnsi="仿宋" w:eastAsia="仿宋" w:cs="仿宋"/>
          <w:i w:val="0"/>
          <w:iCs w:val="0"/>
          <w:caps w:val="0"/>
          <w:color w:val="000000"/>
          <w:spacing w:val="0"/>
          <w:sz w:val="28"/>
          <w:szCs w:val="28"/>
          <w:vertAlign w:val="baseline"/>
        </w:rPr>
        <w:t>正常运行，我院拟对“VTE系统维保服务采购”项目进行市场调研，现将相关事宜公告如下。</w:t>
      </w:r>
    </w:p>
    <w:p w14:paraId="70DACE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i w:val="0"/>
          <w:iCs w:val="0"/>
          <w:caps w:val="0"/>
          <w:color w:val="000000"/>
          <w:spacing w:val="0"/>
          <w:sz w:val="28"/>
          <w:szCs w:val="28"/>
          <w:vertAlign w:val="baseline"/>
          <w:lang w:val="en-US" w:eastAsia="zh-CN"/>
        </w:rPr>
      </w:pPr>
      <w:r>
        <w:rPr>
          <w:rFonts w:hint="eastAsia" w:ascii="仿宋" w:hAnsi="仿宋" w:eastAsia="仿宋" w:cs="仿宋"/>
          <w:i w:val="0"/>
          <w:iCs w:val="0"/>
          <w:caps w:val="0"/>
          <w:color w:val="000000"/>
          <w:spacing w:val="0"/>
          <w:sz w:val="28"/>
          <w:szCs w:val="28"/>
          <w:vertAlign w:val="baseline"/>
          <w:lang w:val="en-US" w:eastAsia="zh-CN"/>
        </w:rPr>
        <w:t>服务年限：1年</w:t>
      </w:r>
    </w:p>
    <w:p w14:paraId="599B69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i w:val="0"/>
          <w:iCs w:val="0"/>
          <w:caps w:val="0"/>
          <w:color w:val="000000"/>
          <w:spacing w:val="0"/>
          <w:sz w:val="28"/>
          <w:szCs w:val="28"/>
          <w:vertAlign w:val="baseline"/>
          <w:lang w:val="en-US" w:eastAsia="zh-CN"/>
        </w:rPr>
      </w:pPr>
    </w:p>
    <w:tbl>
      <w:tblPr>
        <w:tblStyle w:val="7"/>
        <w:tblpPr w:leftFromText="180" w:rightFromText="180" w:vertAnchor="text" w:horzAnchor="page" w:tblpX="871" w:tblpY="504"/>
        <w:tblOverlap w:val="never"/>
        <w:tblW w:w="1052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789"/>
        <w:gridCol w:w="1265"/>
        <w:gridCol w:w="8473"/>
      </w:tblGrid>
      <w:tr w14:paraId="2FF94F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500" w:hRule="atLeast"/>
        </w:trPr>
        <w:tc>
          <w:tcPr>
            <w:tcW w:w="789" w:type="dxa"/>
            <w:tcBorders>
              <w:tl2br w:val="nil"/>
              <w:tr2bl w:val="nil"/>
            </w:tcBorders>
            <w:shd w:val="clear" w:color="auto" w:fill="auto"/>
            <w:vAlign w:val="top"/>
          </w:tcPr>
          <w:p w14:paraId="3F2ADD52">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序号</w:t>
            </w:r>
          </w:p>
        </w:tc>
        <w:tc>
          <w:tcPr>
            <w:tcW w:w="1265" w:type="dxa"/>
            <w:tcBorders>
              <w:tl2br w:val="nil"/>
              <w:tr2bl w:val="nil"/>
            </w:tcBorders>
            <w:shd w:val="clear" w:color="auto" w:fill="auto"/>
            <w:vAlign w:val="top"/>
          </w:tcPr>
          <w:p w14:paraId="1EEE7B54">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项目名称</w:t>
            </w:r>
          </w:p>
        </w:tc>
        <w:tc>
          <w:tcPr>
            <w:tcW w:w="8473" w:type="dxa"/>
            <w:tcBorders>
              <w:tl2br w:val="nil"/>
              <w:tr2bl w:val="nil"/>
            </w:tcBorders>
            <w:shd w:val="clear" w:color="auto" w:fill="auto"/>
            <w:vAlign w:val="top"/>
          </w:tcPr>
          <w:p w14:paraId="4B6BAFAD">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具体内容</w:t>
            </w:r>
          </w:p>
        </w:tc>
      </w:tr>
      <w:tr w14:paraId="250BDD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11041" w:hRule="atLeast"/>
        </w:trPr>
        <w:tc>
          <w:tcPr>
            <w:tcW w:w="789" w:type="dxa"/>
            <w:tcBorders>
              <w:tl2br w:val="nil"/>
              <w:tr2bl w:val="nil"/>
            </w:tcBorders>
            <w:vAlign w:val="top"/>
          </w:tcPr>
          <w:p w14:paraId="5D8AE9F7">
            <w:pPr>
              <w:spacing w:line="240" w:lineRule="auto"/>
              <w:ind w:left="0"/>
              <w:rPr>
                <w:rFonts w:ascii="Arial"/>
                <w:sz w:val="21"/>
              </w:rPr>
            </w:pPr>
          </w:p>
          <w:p w14:paraId="78129284">
            <w:pPr>
              <w:spacing w:line="240" w:lineRule="auto"/>
              <w:ind w:left="0"/>
              <w:rPr>
                <w:rFonts w:ascii="Arial"/>
                <w:sz w:val="21"/>
              </w:rPr>
            </w:pPr>
          </w:p>
          <w:p w14:paraId="383E766D">
            <w:pPr>
              <w:spacing w:line="240" w:lineRule="auto"/>
              <w:ind w:left="0"/>
              <w:rPr>
                <w:rFonts w:ascii="Arial"/>
                <w:sz w:val="21"/>
              </w:rPr>
            </w:pPr>
          </w:p>
          <w:p w14:paraId="1F43225F">
            <w:pPr>
              <w:spacing w:line="240" w:lineRule="auto"/>
              <w:ind w:left="0"/>
              <w:rPr>
                <w:rFonts w:ascii="Arial"/>
                <w:sz w:val="21"/>
              </w:rPr>
            </w:pPr>
          </w:p>
          <w:p w14:paraId="381B5924">
            <w:pPr>
              <w:spacing w:line="240" w:lineRule="auto"/>
              <w:ind w:left="0"/>
              <w:rPr>
                <w:rFonts w:ascii="Arial"/>
                <w:sz w:val="21"/>
              </w:rPr>
            </w:pPr>
          </w:p>
          <w:p w14:paraId="194D6902">
            <w:pPr>
              <w:spacing w:line="240" w:lineRule="auto"/>
              <w:ind w:left="0"/>
              <w:rPr>
                <w:rFonts w:ascii="Arial"/>
                <w:sz w:val="21"/>
              </w:rPr>
            </w:pPr>
          </w:p>
          <w:p w14:paraId="4DD2CEF2">
            <w:pPr>
              <w:spacing w:line="240" w:lineRule="auto"/>
              <w:ind w:left="0"/>
              <w:rPr>
                <w:rFonts w:ascii="Arial"/>
                <w:sz w:val="21"/>
              </w:rPr>
            </w:pPr>
          </w:p>
          <w:p w14:paraId="6B6CD73D">
            <w:pPr>
              <w:spacing w:line="240" w:lineRule="auto"/>
              <w:ind w:left="0"/>
              <w:rPr>
                <w:rFonts w:ascii="Arial"/>
                <w:sz w:val="21"/>
              </w:rPr>
            </w:pPr>
          </w:p>
          <w:p w14:paraId="71E4B1C6">
            <w:pPr>
              <w:spacing w:line="240" w:lineRule="auto"/>
              <w:ind w:left="0"/>
              <w:rPr>
                <w:rFonts w:ascii="Arial"/>
                <w:sz w:val="21"/>
              </w:rPr>
            </w:pPr>
          </w:p>
          <w:p w14:paraId="0F490251">
            <w:pPr>
              <w:spacing w:line="240" w:lineRule="auto"/>
              <w:ind w:left="0"/>
              <w:rPr>
                <w:rFonts w:ascii="Arial"/>
                <w:sz w:val="21"/>
              </w:rPr>
            </w:pPr>
          </w:p>
          <w:p w14:paraId="4E3F6B03">
            <w:pPr>
              <w:spacing w:line="240" w:lineRule="auto"/>
              <w:ind w:left="0"/>
              <w:rPr>
                <w:rFonts w:ascii="Arial"/>
                <w:sz w:val="21"/>
              </w:rPr>
            </w:pPr>
          </w:p>
          <w:p w14:paraId="2E544BE2">
            <w:pPr>
              <w:spacing w:line="240" w:lineRule="auto"/>
              <w:ind w:left="0"/>
              <w:rPr>
                <w:rFonts w:ascii="Arial"/>
                <w:sz w:val="21"/>
              </w:rPr>
            </w:pPr>
          </w:p>
          <w:p w14:paraId="229A0403">
            <w:pPr>
              <w:spacing w:line="240" w:lineRule="auto"/>
              <w:ind w:left="0"/>
              <w:rPr>
                <w:rFonts w:ascii="Arial"/>
                <w:sz w:val="21"/>
              </w:rPr>
            </w:pPr>
          </w:p>
          <w:p w14:paraId="15B2D093">
            <w:pPr>
              <w:spacing w:line="240" w:lineRule="auto"/>
              <w:ind w:left="0"/>
              <w:rPr>
                <w:rFonts w:ascii="Arial"/>
                <w:sz w:val="21"/>
              </w:rPr>
            </w:pPr>
          </w:p>
          <w:p w14:paraId="14C83FA7">
            <w:pPr>
              <w:spacing w:line="240" w:lineRule="auto"/>
              <w:ind w:left="0"/>
              <w:rPr>
                <w:rFonts w:ascii="Arial"/>
                <w:sz w:val="21"/>
              </w:rPr>
            </w:pPr>
          </w:p>
          <w:p w14:paraId="14B9FF5B">
            <w:pPr>
              <w:spacing w:line="240" w:lineRule="auto"/>
              <w:ind w:left="0"/>
              <w:rPr>
                <w:rFonts w:ascii="Arial"/>
                <w:sz w:val="21"/>
              </w:rPr>
            </w:pPr>
          </w:p>
          <w:p w14:paraId="4A580C10">
            <w:pPr>
              <w:spacing w:line="240" w:lineRule="auto"/>
              <w:ind w:left="0"/>
              <w:rPr>
                <w:rFonts w:ascii="Arial"/>
                <w:sz w:val="21"/>
              </w:rPr>
            </w:pPr>
          </w:p>
          <w:p w14:paraId="0CE60C4C">
            <w:pPr>
              <w:pStyle w:val="6"/>
              <w:spacing w:line="240" w:lineRule="auto"/>
              <w:ind w:left="0"/>
            </w:pPr>
            <w:r>
              <w:rPr>
                <w:b/>
                <w:bCs/>
                <w:position w:val="3"/>
              </w:rPr>
              <w:t>1</w:t>
            </w:r>
          </w:p>
        </w:tc>
        <w:tc>
          <w:tcPr>
            <w:tcW w:w="1265" w:type="dxa"/>
            <w:tcBorders>
              <w:tl2br w:val="nil"/>
              <w:tr2bl w:val="nil"/>
            </w:tcBorders>
            <w:vAlign w:val="top"/>
          </w:tcPr>
          <w:p w14:paraId="23192379">
            <w:pPr>
              <w:spacing w:line="240" w:lineRule="auto"/>
              <w:ind w:left="0"/>
              <w:rPr>
                <w:rFonts w:ascii="Arial"/>
                <w:sz w:val="21"/>
              </w:rPr>
            </w:pPr>
          </w:p>
          <w:p w14:paraId="150D7714">
            <w:pPr>
              <w:spacing w:line="240" w:lineRule="auto"/>
              <w:ind w:left="0"/>
              <w:rPr>
                <w:rFonts w:ascii="Arial"/>
                <w:sz w:val="21"/>
              </w:rPr>
            </w:pPr>
          </w:p>
          <w:p w14:paraId="47EADB4F">
            <w:pPr>
              <w:spacing w:line="240" w:lineRule="auto"/>
              <w:ind w:left="0"/>
              <w:rPr>
                <w:rFonts w:ascii="Arial"/>
                <w:sz w:val="21"/>
              </w:rPr>
            </w:pPr>
          </w:p>
          <w:p w14:paraId="66FBECBE">
            <w:pPr>
              <w:spacing w:line="240" w:lineRule="auto"/>
              <w:ind w:left="0"/>
              <w:rPr>
                <w:rFonts w:ascii="Arial"/>
                <w:sz w:val="21"/>
              </w:rPr>
            </w:pPr>
          </w:p>
          <w:p w14:paraId="234C9BEF">
            <w:pPr>
              <w:spacing w:line="240" w:lineRule="auto"/>
              <w:ind w:left="0"/>
              <w:rPr>
                <w:rFonts w:ascii="Arial"/>
                <w:sz w:val="21"/>
              </w:rPr>
            </w:pPr>
          </w:p>
          <w:p w14:paraId="52F795B6">
            <w:pPr>
              <w:spacing w:line="240" w:lineRule="auto"/>
              <w:ind w:left="0"/>
              <w:rPr>
                <w:rFonts w:ascii="Arial"/>
                <w:sz w:val="21"/>
              </w:rPr>
            </w:pPr>
          </w:p>
          <w:p w14:paraId="64463E09">
            <w:pPr>
              <w:spacing w:line="240" w:lineRule="auto"/>
              <w:ind w:left="0"/>
              <w:rPr>
                <w:rFonts w:ascii="Arial"/>
                <w:sz w:val="21"/>
              </w:rPr>
            </w:pPr>
          </w:p>
          <w:p w14:paraId="6A7CD15B">
            <w:pPr>
              <w:spacing w:line="240" w:lineRule="auto"/>
              <w:ind w:left="0"/>
              <w:rPr>
                <w:rFonts w:ascii="Arial"/>
                <w:sz w:val="21"/>
              </w:rPr>
            </w:pPr>
          </w:p>
          <w:p w14:paraId="12D885C9">
            <w:pPr>
              <w:spacing w:line="240" w:lineRule="auto"/>
              <w:ind w:left="0"/>
              <w:rPr>
                <w:rFonts w:ascii="Arial"/>
                <w:sz w:val="21"/>
              </w:rPr>
            </w:pPr>
          </w:p>
          <w:p w14:paraId="6FA9A822">
            <w:pPr>
              <w:spacing w:line="240" w:lineRule="auto"/>
              <w:ind w:left="0"/>
              <w:rPr>
                <w:rFonts w:ascii="Arial"/>
                <w:sz w:val="21"/>
              </w:rPr>
            </w:pPr>
          </w:p>
          <w:p w14:paraId="41FB856E">
            <w:pPr>
              <w:spacing w:line="240" w:lineRule="auto"/>
              <w:ind w:left="0"/>
              <w:rPr>
                <w:rFonts w:ascii="Arial"/>
                <w:sz w:val="21"/>
              </w:rPr>
            </w:pPr>
          </w:p>
          <w:p w14:paraId="5E95B06E">
            <w:pPr>
              <w:spacing w:line="240" w:lineRule="auto"/>
              <w:ind w:left="0"/>
              <w:rPr>
                <w:rFonts w:ascii="Arial"/>
                <w:sz w:val="21"/>
              </w:rPr>
            </w:pPr>
          </w:p>
          <w:p w14:paraId="05B4D839">
            <w:pPr>
              <w:spacing w:line="240" w:lineRule="auto"/>
              <w:ind w:left="0"/>
              <w:rPr>
                <w:rFonts w:ascii="Arial"/>
                <w:sz w:val="21"/>
              </w:rPr>
            </w:pPr>
          </w:p>
          <w:p w14:paraId="3481822A">
            <w:pPr>
              <w:spacing w:line="240" w:lineRule="auto"/>
              <w:ind w:left="0"/>
              <w:rPr>
                <w:rFonts w:ascii="Arial"/>
                <w:sz w:val="21"/>
              </w:rPr>
            </w:pPr>
          </w:p>
          <w:p w14:paraId="33100641">
            <w:pPr>
              <w:spacing w:line="240" w:lineRule="auto"/>
              <w:ind w:left="0"/>
              <w:rPr>
                <w:rFonts w:ascii="Arial"/>
                <w:sz w:val="21"/>
              </w:rPr>
            </w:pPr>
          </w:p>
          <w:p w14:paraId="1CB6FF2E">
            <w:pPr>
              <w:spacing w:line="240" w:lineRule="auto"/>
              <w:ind w:left="0"/>
              <w:rPr>
                <w:rFonts w:ascii="Arial"/>
                <w:sz w:val="21"/>
              </w:rPr>
            </w:pPr>
          </w:p>
          <w:p w14:paraId="0823BF7A">
            <w:pPr>
              <w:spacing w:line="240" w:lineRule="auto"/>
              <w:ind w:left="0"/>
              <w:rPr>
                <w:rFonts w:ascii="Arial"/>
                <w:sz w:val="21"/>
              </w:rPr>
            </w:pPr>
          </w:p>
          <w:p w14:paraId="48853294">
            <w:pPr>
              <w:spacing w:line="240" w:lineRule="auto"/>
              <w:ind w:left="0"/>
              <w:rPr>
                <w:rFonts w:ascii="Arial"/>
                <w:sz w:val="21"/>
              </w:rPr>
            </w:pPr>
          </w:p>
          <w:p w14:paraId="39286BA2">
            <w:pPr>
              <w:jc w:val="center"/>
            </w:pPr>
            <w:r>
              <w:rPr>
                <w:rFonts w:hint="eastAsia" w:ascii="仿宋" w:hAnsi="仿宋" w:eastAsia="仿宋" w:cs="仿宋"/>
                <w:b/>
                <w:bCs/>
                <w:sz w:val="24"/>
                <w:szCs w:val="24"/>
                <w:vertAlign w:val="baseline"/>
                <w:lang w:val="en-US" w:eastAsia="zh-CN"/>
              </w:rPr>
              <w:t>技术支持</w:t>
            </w:r>
          </w:p>
        </w:tc>
        <w:tc>
          <w:tcPr>
            <w:tcW w:w="8473" w:type="dxa"/>
            <w:tcBorders>
              <w:tl2br w:val="nil"/>
              <w:tr2bl w:val="nil"/>
            </w:tcBorders>
            <w:vAlign w:val="top"/>
          </w:tcPr>
          <w:p w14:paraId="10234E09">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1.支持首页导航功能，至少包括五大类统计指标：风险评估类指标、预防措施类指标、诊断类指标、治疗类指标、结局性指标，支持一键跳转该项指标统计界面；</w:t>
            </w:r>
          </w:p>
          <w:p w14:paraId="50B0BE1B">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评估质量指标中各项统计页面：支持按照年度、季度、月度、科室、病区等不同维度统计；各项指标不同维度下统计应显示不同指标对应的计算公式；支持查看统计数据及原始数据，可以按照院区、科室、病区筛选统计；支持按照出院时间筛选统计；支持柱状图、折线图统计显示，统计图表可以下载；支持数据表格下载导出；</w:t>
            </w:r>
          </w:p>
          <w:p w14:paraId="2FE4533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3.支持VTE风险评估率统计功能：支持不同评估时机，包括：入院后24h内VTE风险评估率、手术前24h内VTE风险评估率、手术后24h内VTE风险评估率、转科后24h内VTE风险评估率、出院前24h内VTE风险评估率数据展示统计；</w:t>
            </w:r>
          </w:p>
          <w:p w14:paraId="27CE9B25">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4.支持VTE中高风险比例统计功能：统计VTE中高风险比例人数、同期进行了VTE风险评估的出院患者总例数及所占比率；</w:t>
            </w:r>
          </w:p>
          <w:p w14:paraId="153BED99">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支持出血风险评估率统计功能：支持不同评估时机，包括：入院后24h内出血风险评估率、手术前24h内出血风险评估率、手术后24h内出血风险评估率、转科后24h内出血风险评估率、出院前24h内出血风险评估率数据展示统计；</w:t>
            </w:r>
          </w:p>
          <w:p w14:paraId="3C7F28D1">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6.支持出血高风险比例统计功能：统计出血高风险比例人数、同期进行了出血风险评估的出院患者总例数及所占比率；</w:t>
            </w:r>
          </w:p>
          <w:p w14:paraId="281195B5">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7.预防质量指标中各项统计页面：支持按照年度、季度、月度、科室、病区等不同维度统计；各项指标不同维度下统计应显示不同指标对应的计算公式；支持查看统计数据及原始数据，可以按照院区、科室、病区筛选统计；支持按照出院时间筛选统计；支持柱状图、折线图统计显示，统计图表可以下载；支持数据表格下载导出；</w:t>
            </w:r>
          </w:p>
          <w:p w14:paraId="0715476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8.支持药物预防实施率统计功能：支持不同评估时机，包括：入院后24h内药物预防实施率、手术前24h~72h内药物预防实施率、手术后24h内药物预防实施率、手术后24h~72h内药物预防实施率、转科后24h内药物预防实施率、出院医嘱带抗凝药比例数据展示统计；</w:t>
            </w:r>
          </w:p>
          <w:p w14:paraId="56E7DB2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9.支持机械预防实施率统计功能：支持不同评估时机，包括：入院后24h内机械预防实施率、手术前24h内机械预防实施率、手术中机械预防实施率、手术后24h内机械预防实施率、转科后24h内机械预防实施率数据展示统计；</w:t>
            </w:r>
          </w:p>
          <w:p w14:paraId="4DBC12B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10.支持联合预防实施率统计功能：支持不同评估时机，包括：入院后24h内联合预防实施率、手术前24h~72h内联合预防实施率、手术后24h内联合预防实施率、手术后24h~72h内联合预防实施率、转科后24h内联合预防实施率数据展示统计；</w:t>
            </w:r>
          </w:p>
          <w:p w14:paraId="0728BA6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p>
          <w:p w14:paraId="560E2CA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p>
          <w:p w14:paraId="66E1D1D9">
            <w:pPr>
              <w:pStyle w:val="6"/>
              <w:widowControl w:val="0"/>
              <w:pBdr>
                <w:top w:val="none" w:color="auto" w:sz="0" w:space="1"/>
                <w:left w:val="none" w:color="auto" w:sz="0" w:space="4"/>
                <w:bottom w:val="none" w:color="auto" w:sz="0" w:space="1"/>
                <w:right w:val="none" w:color="auto" w:sz="0" w:space="4"/>
                <w:between w:val="none" w:color="auto" w:sz="0" w:space="0"/>
              </w:pBdr>
              <w:spacing w:line="240" w:lineRule="auto"/>
              <w:jc w:val="both"/>
              <w:rPr>
                <w:rFonts w:hint="eastAsia" w:ascii="仿宋" w:hAnsi="仿宋" w:eastAsia="仿宋" w:cs="仿宋"/>
                <w:kern w:val="2"/>
                <w:sz w:val="24"/>
                <w:szCs w:val="24"/>
                <w:vertAlign w:val="baseline"/>
                <w:lang w:val="en-US" w:eastAsia="zh-CN" w:bidi="ar-SA"/>
              </w:rPr>
            </w:pPr>
            <w:bookmarkStart w:id="0" w:name="_GoBack"/>
            <w:bookmarkEnd w:id="0"/>
          </w:p>
          <w:p w14:paraId="17F2AD5F">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11.诊断类指标中各项统计页面：支持按照年度、季度、月度、科室、病区等不同维度统计；各项指标不同维度下统计应显示不同指标对应的计算公式；支持查看统计数据及原始数据，可以按照院区、科室、病区筛选统计；支持按照出院时间筛选统计；支持柱状图、折线图统计显示，统计图表可以下载；支持数据表格下载导出；</w:t>
            </w:r>
          </w:p>
          <w:p w14:paraId="062E7C93">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12.诊断类指标支持：住院患者实施静脉超声检查比率、住院患者实施D-二聚体检测比率、24小时凝血监测、24小时心脏标志物监测、24小时床旁心电图、24小时床旁超声、CTPA实施比率、V/Q显像检查、肺动脉造影检查、确诊VTE的下肢静脉超声统计功能；</w:t>
            </w:r>
          </w:p>
          <w:p w14:paraId="647E7F1B">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13.治疗类指标中各项统计页面：支持按照年度、季度、月度、科室、病区等不同维度统计；各项指标不同维度下统计应显示不同指标对应的计算公式；支持查看统计数据及原始数据，可以按照院区、科室、病区筛选统计；支持按照出院时间筛选统计；支持柱状图、折线图统计显示，统计图表可以下载；支持数据表格下载导出；</w:t>
            </w:r>
          </w:p>
          <w:p w14:paraId="39CBF6E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14.治疗类指标支持：住院VTE患者实施抗凝率比率、住院VTE患者实施溶栓治疗比率、开展溶栓/介入或手术治疗汇总统计及溶栓/介入/手术治疗专项统计功能；</w:t>
            </w:r>
          </w:p>
          <w:p w14:paraId="5122F46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15.结局质量指标中各项统计页面：支持按照年度、季度、月度、科室、病区等不同维度统计；各项指标不同维度下统计应显示不同指标对应的计算公式；支持查看统计数据及原始数据，可以按照院区、科室、病区筛选统计；支持按照出院时间筛选统计；支持柱状图、折线图统计显示，统计图表可以下载；支持数据表格下载导出；</w:t>
            </w:r>
          </w:p>
          <w:p w14:paraId="55E2151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16.支持医院相关性VTE检出率统计功能：包括医院相关性VTE检出比率汇总统计及单纯DVT出院患者比率、单纯PTE（或PE）出院患者比率、DVT合并PTE（或PE）出院患者比率、明确为医院相关性VTE的出院患者比率专项统计；</w:t>
            </w:r>
          </w:p>
          <w:p w14:paraId="2C73747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17.支持医院相关性VTE治疗率统计功能：包括VTE规范治疗率、VTE病例住院期间抗凝治疗实施率、VTE病例住院期间溶栓治疗实施率、VTE病例住院期间介入治疗实施率、VTE病例住院期间手术治疗实施率、VTE病例出院医嘱带抗凝药比例专项统计；</w:t>
            </w:r>
          </w:p>
          <w:p w14:paraId="77FDBAF4">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18.支持医院相关性VTE死亡率统计功能：包括单纯DVT死亡比率、单纯PTE（或PE）死亡比率、DVT合并PTE（或PE）死亡比率、明确为因医院相关性VTE而死亡的患者比率专项统计；</w:t>
            </w:r>
          </w:p>
          <w:p w14:paraId="75D07491">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19.支持医院相关性VTE死亡率统计功能：包括出血事件发生率、抗凝预防患者大出血事件发生率、抗凝预防患者临床相关非大出血事件发生率、抗凝/溶栓治疗患者大出血事件发生率、抗凝/溶栓治疗患者临床相关非大出血事件发生率专项统计；</w:t>
            </w:r>
          </w:p>
          <w:p w14:paraId="7589D13E">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20.支持住院手术患者VTE发生率统计功能：包含住院手术患者VTE发生率人数、同期住院手术患者总数及所占比率统计。</w:t>
            </w:r>
          </w:p>
          <w:p w14:paraId="72FC0C2C">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21.支持不同类型评分表低危与中高危占比显示；可以按照院区、科室、病区筛选统计；支持按照出院时间筛选统计；支持饼图统计显示，统计图表可以下载；支持数据表格下载导出；</w:t>
            </w:r>
          </w:p>
          <w:p w14:paraId="5AF133F1">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22.支持按照科室显示中高危患者分布情况；可以按照院区、科室、病区筛选统计；支持按照出院时间筛选统计；支持柱状图、折线图统计显示，统计图表可以下载；支持数据表格下载导出；</w:t>
            </w:r>
          </w:p>
          <w:p w14:paraId="7D4DB37B">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23.支持病案首页诊断填写率质控；可以按照院区、科室、病区筛选统计；支持按照出院时间筛选统计；支持柱状图、折线图统计显示，统计图表可以下载；支持数据表格下载导出；</w:t>
            </w:r>
          </w:p>
          <w:p w14:paraId="786572EE">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24.支持按照不同评估表单的风险因素情况汇总患者分布情况；支持科室、病区筛选；支持出院时间筛选功能；支持柱状图、饼图统计显示，支持报表数据导出下载；</w:t>
            </w:r>
          </w:p>
          <w:p w14:paraId="4A85FEEE">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25.支持在院患者实时监控管理：根据患者不同的风险等级进行分类统计，分类汇总对应的数据列表；支持查看患者已评分、未评分数据；支持在院患者不同指标按照环形比例图、柱状图显示；支持按照不同科室分别统计；支持不同科室多选汇总统计；</w:t>
            </w:r>
          </w:p>
          <w:p w14:paraId="7E5491AD">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26.支持患者360数据查看：根据患者住院过程，汇总患者住院期间的各项评估、检查、检验等相关信息。</w:t>
            </w:r>
          </w:p>
          <w:p w14:paraId="6895ED0B">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支持VTE防治中心数据上报汇总，支持按照月份筛选，汇总数据可以导出下载。</w:t>
            </w:r>
          </w:p>
          <w:p w14:paraId="6187A87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支持NCIS数据统计汇总，支持按照年份筛选，汇总数据可以导出下载。</w:t>
            </w:r>
          </w:p>
          <w:p w14:paraId="696066EF">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支持自定义报表功能，支持患者数据任意关联，一键生成报表，数据可以下载导出。</w:t>
            </w:r>
          </w:p>
          <w:p w14:paraId="39A2C5BF">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30.支持按照医院的要求自定义生成质控报表数据，包括：全院及各科室风险评估情况、出血风险评估情况、预防措施情况的汇总、图表、数据表格等，支持按照时间筛选、查询及PDF导出功能。</w:t>
            </w:r>
          </w:p>
          <w:p w14:paraId="3588C62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31.质量改进功能中各项统计页面：支持按照年度、季度、月度、科室、病区等不同维度统计；支持查看统计数据及原始数据，可以按照院区、科室、病区筛选统计；支持按照出院时间筛选统计；支持柱状图、折线图统计显示，统计图表可以下载；支持数据表格下载导出；</w:t>
            </w:r>
          </w:p>
          <w:p w14:paraId="5B86F6FF">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支持在院未评分统计，包含：在院未评分人数、同期在院总例数及所占比率统计；</w:t>
            </w:r>
          </w:p>
          <w:p w14:paraId="6B7870C3">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支持出院未评分统计，包含：出院未评分人数、同期出院总例数及所占比率；</w:t>
            </w:r>
          </w:p>
          <w:p w14:paraId="3C86A011">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系统支持出血未评分统计，包含：出血未评分人数、同期出院总例数及所占比率；</w:t>
            </w:r>
          </w:p>
          <w:p w14:paraId="228449E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支持评分未确认统计，包含：评分未确认人数、同期出院总例数及所占比率；</w:t>
            </w:r>
          </w:p>
          <w:p w14:paraId="2803A337">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支持医生确认率统计，包含：医生确认率人数、同期出院总例数及所占比率；</w:t>
            </w:r>
          </w:p>
          <w:p w14:paraId="521C236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支持未进行预防比率统计，包含：未进行预防人数、出院总人数及所占比率；</w:t>
            </w:r>
          </w:p>
          <w:p w14:paraId="1C375FB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支持中高危未进行药物机械预防比率统计，包含：中高危未进行药物机械预防人数、中高危出院患者例数及所占比率；</w:t>
            </w:r>
          </w:p>
          <w:p w14:paraId="5BDB64D5">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39.VTE相关评估量表达到信息化，可根据不同科室自动对应评估表单，评估表单结果可自动计算分值、风险等级；</w:t>
            </w:r>
          </w:p>
          <w:p w14:paraId="205DBDE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40.评估表单模型可按照医院情况实际选择，可根据医院要求配置启用或关闭；评分表单至少包含Caprini、Padua、Khorona、产科评分、外科出血风险评估、内科出血风险评估、机械预防禁忌症评估、wells评估等；</w:t>
            </w:r>
          </w:p>
          <w:p w14:paraId="7C772879">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41.可根据院内检查、检验、病历等数据自动提取，支持医护AI自动评分。自动识别患者风险因素选项，并自动勾选，勾选内容应显示数据来源，医生可查看核对并确认；</w:t>
            </w:r>
          </w:p>
          <w:p w14:paraId="4BD91CB0">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42.医护AI自动评分内容需要符号标注，可以在评分页面区分人机评分。</w:t>
            </w:r>
          </w:p>
          <w:p w14:paraId="7627206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43.支持评估时间节点自定义功能；系统可根据医嘱系统、病历数据提取触发节点，自动识别评估节点；</w:t>
            </w:r>
          </w:p>
          <w:p w14:paraId="559DC693">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评分流程可根据医院要求进行配置：至少包括医生自动评分、医生主动评分、护士参与评分医生确认等模式。医生可对系统自动评分、护士评分结果进行二次修改并保存；</w:t>
            </w:r>
          </w:p>
          <w:p w14:paraId="0D31BA07">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支持流程化评分模式，按照系统流程引导医生逐步完成风险评估；</w:t>
            </w:r>
          </w:p>
          <w:p w14:paraId="6DDDEB53">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46.可按照医院模板要求，对患者抗凝治标知情同意书、VTE知情同意书自定义维护，支持下载打印功能；</w:t>
            </w:r>
          </w:p>
          <w:p w14:paraId="4D7D6E54">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47.支持查看患者历史评估数据，支持打印、下载导出、删除功能；</w:t>
            </w:r>
          </w:p>
          <w:p w14:paraId="38879981">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48.支持科室患者列表显示功能；患者列表可按照患者最新一次评分风险等级按照不同颜色标识显示；患者列表支持姓名、床号、住院号等检索功能；</w:t>
            </w:r>
          </w:p>
          <w:p w14:paraId="44AE9139">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49.系统支持用户信息与院内数据同步。按照医生工号与科室信息绑定，登录后显示对应科室患者数据，多科室权限医生可以按照不同科室切换权限；</w:t>
            </w:r>
          </w:p>
          <w:p w14:paraId="127C99CC">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50.系统支持根据不同风险评估表单的评估结果提示对应的预防措施内容；</w:t>
            </w:r>
          </w:p>
          <w:p w14:paraId="635BF703">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51.患者基本信息采集数据显示至少包括：住院号，患者姓名，性别、年龄、科室、床号、入院时间。</w:t>
            </w:r>
          </w:p>
          <w:p w14:paraId="093D540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52.系统支持登录、退出、注销、修改密码等操作；</w:t>
            </w:r>
          </w:p>
          <w:p w14:paraId="5F84E0FA">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53.系统支持用户账号自动同步或自定义维护，支持添加、修改、删除、重置密码等操作；</w:t>
            </w:r>
          </w:p>
          <w:p w14:paraId="73401A2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54.系统支持科室、病区维护操作；</w:t>
            </w:r>
          </w:p>
          <w:p w14:paraId="527F4A13">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55.支持预防措施提示内容自定义维护；</w:t>
            </w:r>
          </w:p>
          <w:p w14:paraId="34612250">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56.支持预防措施统计根据基础预防、机械预防、药物预防抓取内容自定义维护；</w:t>
            </w:r>
          </w:p>
          <w:p w14:paraId="2F7DB0C5">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57.支持评分表单选项内容自定义维护。</w:t>
            </w:r>
          </w:p>
          <w:p w14:paraId="0ABAFB02">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58.系统支持与院内系统数据交互对接，通过视图、Web Service、平台推送等方式对接。</w:t>
            </w:r>
          </w:p>
          <w:p w14:paraId="09F2A8AB">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59.系统支持与院内系统对接，实现系统间关联登录。</w:t>
            </w:r>
          </w:p>
          <w:p w14:paraId="08888599">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60.系统支持与his或病历系统交互，可实现不同节点卡控提醒功能，可根据医院要求配置是否强制。</w:t>
            </w:r>
          </w:p>
          <w:p w14:paraId="5D97AEEF">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61.系统支持与病历系统交互，实现VTE评分数据回传。</w:t>
            </w:r>
          </w:p>
          <w:p w14:paraId="3AB32405">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62.系统支持与his系统对接，实现his患者卡片或列表，按照不同风险等级显示VTE评分标识。</w:t>
            </w:r>
          </w:p>
          <w:p w14:paraId="25D45BFB">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63.系统支持与医嘱系统对接，实现文字性医嘱回传功能。</w:t>
            </w:r>
          </w:p>
          <w:p w14:paraId="4AA6A4D0">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64.系统需要兼容Windows各版本系统：包括Windows XP/7/8/10/11等各类系统版本。</w:t>
            </w:r>
          </w:p>
          <w:p w14:paraId="3EE3134C">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65.可以通过VTE系统预防措施推荐页面一键勾选并下达物理预防措施至物联设备（与支持物联网的物理预防设备对接）。</w:t>
            </w:r>
          </w:p>
          <w:p w14:paraId="2C2AB35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物联后台展示物理预防设备运行、空闲、离线、维修中、报警、非智能、异常状态列表，用于监控设备状态。</w:t>
            </w:r>
          </w:p>
          <w:p w14:paraId="7251FBA6">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物联后台展示患者执行监控列表，展示未执行、执行中、已完成的任务列表，用于监控物理预防设备执行状态，点击可查看患者历史执行记录等详细信息。</w:t>
            </w:r>
          </w:p>
          <w:p w14:paraId="5483224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68.设备执行记录对患者信息、执行开始时间、执行结束时间、执行设备编号、执行状态、执行内容、执行病区等信息进行统计展示。</w:t>
            </w:r>
          </w:p>
          <w:p w14:paraId="02981A48">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69.支持科室、病区、楼层自定义维护，支持手动维护或自动更新。</w:t>
            </w:r>
          </w:p>
          <w:p w14:paraId="525D43D0">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70.支持设备维护，包括：设备id、设备编号、设备类型、设备状态、厂家id、厂家名称维护。</w:t>
            </w:r>
          </w:p>
          <w:p w14:paraId="1111D90E">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pPr>
            <w:r>
              <w:rPr>
                <w:rFonts w:hint="eastAsia" w:ascii="仿宋" w:hAnsi="仿宋" w:eastAsia="仿宋" w:cs="仿宋"/>
                <w:kern w:val="2"/>
                <w:sz w:val="24"/>
                <w:szCs w:val="24"/>
                <w:vertAlign w:val="baseline"/>
                <w:lang w:val="en-US" w:eastAsia="zh-CN" w:bidi="ar-SA"/>
              </w:rPr>
              <w:t>71.支持对非智能设备统计管理；支持赋码上传；支持后台人工添加非智能设备，自动生成设备编号</w:t>
            </w:r>
            <w:r>
              <w:rPr>
                <w:rFonts w:hint="eastAsia" w:ascii="仿宋" w:hAnsi="仿宋" w:eastAsia="仿宋" w:cs="仿宋"/>
                <w:kern w:val="2"/>
                <w:sz w:val="24"/>
                <w:szCs w:val="24"/>
                <w:vertAlign w:val="baseline"/>
                <w:lang w:val="en-US" w:eastAsia="zh-Hans" w:bidi="ar-SA"/>
              </w:rPr>
              <w:t>。</w:t>
            </w:r>
          </w:p>
        </w:tc>
      </w:tr>
    </w:tbl>
    <w:p w14:paraId="70BE8A95">
      <w:pPr>
        <w:rPr>
          <w:rFonts w:ascii="Arial"/>
          <w:sz w:val="21"/>
        </w:rPr>
      </w:pPr>
    </w:p>
    <w:p w14:paraId="687BB2DA">
      <w:pPr>
        <w:widowControl w:val="0"/>
        <w:pBdr>
          <w:top w:val="none" w:color="auto" w:sz="0" w:space="1"/>
          <w:left w:val="none" w:color="auto" w:sz="0" w:space="4"/>
          <w:bottom w:val="none" w:color="auto" w:sz="0" w:space="1"/>
          <w:right w:val="none" w:color="auto" w:sz="0" w:space="4"/>
          <w:between w:val="none" w:color="auto" w:sz="0" w:space="0"/>
        </w:pBdr>
        <w:spacing w:before="3"/>
        <w:jc w:val="both"/>
      </w:pPr>
    </w:p>
    <w:p w14:paraId="0D5E5F61">
      <w:pPr>
        <w:widowControl w:val="0"/>
        <w:pBdr>
          <w:top w:val="none" w:color="auto" w:sz="0" w:space="1"/>
          <w:left w:val="none" w:color="auto" w:sz="0" w:space="4"/>
          <w:bottom w:val="none" w:color="auto" w:sz="0" w:space="1"/>
          <w:right w:val="none" w:color="auto" w:sz="0" w:space="4"/>
          <w:between w:val="none" w:color="auto" w:sz="0" w:space="0"/>
        </w:pBdr>
        <w:spacing w:before="3"/>
        <w:jc w:val="both"/>
      </w:pPr>
    </w:p>
    <w:p w14:paraId="3F7251E8">
      <w:pPr>
        <w:widowControl w:val="0"/>
        <w:pBdr>
          <w:top w:val="none" w:color="auto" w:sz="0" w:space="1"/>
          <w:left w:val="none" w:color="auto" w:sz="0" w:space="4"/>
          <w:bottom w:val="none" w:color="auto" w:sz="0" w:space="1"/>
          <w:right w:val="none" w:color="auto" w:sz="0" w:space="4"/>
          <w:between w:val="none" w:color="auto" w:sz="0" w:space="0"/>
        </w:pBdr>
        <w:jc w:val="both"/>
        <w:rPr>
          <w:rFonts w:ascii="Arial"/>
          <w:sz w:val="21"/>
        </w:rPr>
      </w:pPr>
    </w:p>
    <w:p w14:paraId="6A7BE424">
      <w:pPr>
        <w:widowControl w:val="0"/>
        <w:pBdr>
          <w:top w:val="none" w:color="auto" w:sz="0" w:space="1"/>
          <w:left w:val="none" w:color="auto" w:sz="0" w:space="4"/>
          <w:bottom w:val="none" w:color="auto" w:sz="0" w:space="1"/>
          <w:right w:val="none" w:color="auto" w:sz="0" w:space="4"/>
          <w:between w:val="none" w:color="auto" w:sz="0" w:space="0"/>
        </w:pBdr>
        <w:jc w:val="both"/>
        <w:rPr>
          <w:rFonts w:ascii="Arial" w:hAnsi="Arial" w:eastAsia="Arial" w:cs="Arial"/>
          <w:sz w:val="21"/>
          <w:szCs w:val="21"/>
        </w:rPr>
        <w:sectPr>
          <w:headerReference r:id="rId3" w:type="default"/>
          <w:pgSz w:w="11906" w:h="16840"/>
          <w:pgMar w:top="400" w:right="177" w:bottom="403" w:left="480" w:header="0" w:footer="0" w:gutter="0"/>
          <w:pgBorders>
            <w:top w:val="none" w:sz="0" w:space="0"/>
            <w:left w:val="none" w:sz="0" w:space="0"/>
            <w:bottom w:val="none" w:sz="0" w:space="0"/>
            <w:right w:val="none" w:sz="0" w:space="0"/>
          </w:pgBorders>
          <w:cols w:space="720" w:num="1"/>
        </w:sectPr>
      </w:pPr>
    </w:p>
    <w:tbl>
      <w:tblPr>
        <w:tblStyle w:val="7"/>
        <w:tblpPr w:leftFromText="180" w:rightFromText="180" w:vertAnchor="text" w:horzAnchor="page" w:tblpX="497" w:tblpY="692"/>
        <w:tblOverlap w:val="never"/>
        <w:tblW w:w="1045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789"/>
        <w:gridCol w:w="1266"/>
        <w:gridCol w:w="8401"/>
      </w:tblGrid>
      <w:tr w14:paraId="24AA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3640" w:hRule="atLeast"/>
        </w:trPr>
        <w:tc>
          <w:tcPr>
            <w:tcW w:w="789" w:type="dxa"/>
            <w:vMerge w:val="restart"/>
            <w:tcBorders>
              <w:tl2br w:val="nil"/>
              <w:tr2bl w:val="nil"/>
            </w:tcBorders>
            <w:vAlign w:val="top"/>
          </w:tcPr>
          <w:p w14:paraId="09A36830">
            <w:pPr>
              <w:widowControl w:val="0"/>
              <w:pBdr>
                <w:top w:val="none" w:color="auto" w:sz="0" w:space="1"/>
                <w:left w:val="none" w:color="auto" w:sz="0" w:space="4"/>
                <w:bottom w:val="none" w:color="auto" w:sz="0" w:space="1"/>
                <w:right w:val="none" w:color="auto" w:sz="0" w:space="4"/>
                <w:between w:val="none" w:color="auto" w:sz="0" w:space="0"/>
              </w:pBdr>
              <w:jc w:val="both"/>
              <w:rPr>
                <w:rFonts w:ascii="Arial"/>
                <w:sz w:val="21"/>
              </w:rPr>
            </w:pPr>
          </w:p>
        </w:tc>
        <w:tc>
          <w:tcPr>
            <w:tcW w:w="1266" w:type="dxa"/>
            <w:tcBorders>
              <w:tl2br w:val="nil"/>
              <w:tr2bl w:val="nil"/>
            </w:tcBorders>
            <w:vAlign w:val="top"/>
          </w:tcPr>
          <w:p w14:paraId="033454D5">
            <w:pPr>
              <w:widowControl w:val="0"/>
              <w:pBdr>
                <w:top w:val="none" w:color="auto" w:sz="0" w:space="1"/>
                <w:left w:val="none" w:color="auto" w:sz="0" w:space="4"/>
                <w:bottom w:val="none" w:color="auto" w:sz="0" w:space="1"/>
                <w:right w:val="none" w:color="auto" w:sz="0" w:space="4"/>
                <w:between w:val="none" w:color="auto" w:sz="0" w:space="0"/>
              </w:pBdr>
              <w:spacing w:line="276" w:lineRule="auto"/>
              <w:jc w:val="both"/>
              <w:rPr>
                <w:rFonts w:ascii="Arial"/>
                <w:sz w:val="21"/>
              </w:rPr>
            </w:pPr>
          </w:p>
          <w:p w14:paraId="740C690D">
            <w:pPr>
              <w:widowControl w:val="0"/>
              <w:pBdr>
                <w:top w:val="none" w:color="auto" w:sz="0" w:space="1"/>
                <w:left w:val="none" w:color="auto" w:sz="0" w:space="4"/>
                <w:bottom w:val="none" w:color="auto" w:sz="0" w:space="1"/>
                <w:right w:val="none" w:color="auto" w:sz="0" w:space="4"/>
                <w:between w:val="none" w:color="auto" w:sz="0" w:space="0"/>
              </w:pBdr>
              <w:spacing w:line="276" w:lineRule="auto"/>
              <w:jc w:val="both"/>
              <w:rPr>
                <w:rFonts w:ascii="Arial"/>
                <w:sz w:val="21"/>
              </w:rPr>
            </w:pPr>
          </w:p>
          <w:p w14:paraId="0BCEFF4F">
            <w:pPr>
              <w:widowControl w:val="0"/>
              <w:pBdr>
                <w:top w:val="none" w:color="auto" w:sz="0" w:space="1"/>
                <w:left w:val="none" w:color="auto" w:sz="0" w:space="4"/>
                <w:bottom w:val="none" w:color="auto" w:sz="0" w:space="1"/>
                <w:right w:val="none" w:color="auto" w:sz="0" w:space="4"/>
                <w:between w:val="none" w:color="auto" w:sz="0" w:space="0"/>
              </w:pBdr>
              <w:spacing w:line="276" w:lineRule="auto"/>
              <w:jc w:val="both"/>
              <w:rPr>
                <w:rFonts w:ascii="Arial"/>
                <w:sz w:val="21"/>
              </w:rPr>
            </w:pPr>
          </w:p>
          <w:p w14:paraId="33B9EC29">
            <w:pPr>
              <w:widowControl w:val="0"/>
              <w:pBdr>
                <w:top w:val="none" w:color="auto" w:sz="0" w:space="1"/>
                <w:left w:val="none" w:color="auto" w:sz="0" w:space="4"/>
                <w:bottom w:val="none" w:color="auto" w:sz="0" w:space="1"/>
                <w:right w:val="none" w:color="auto" w:sz="0" w:space="4"/>
                <w:between w:val="none" w:color="auto" w:sz="0" w:space="0"/>
              </w:pBdr>
              <w:spacing w:line="276" w:lineRule="auto"/>
              <w:jc w:val="both"/>
              <w:rPr>
                <w:rFonts w:ascii="Arial"/>
                <w:sz w:val="21"/>
              </w:rPr>
            </w:pPr>
          </w:p>
          <w:p w14:paraId="3C2C8489">
            <w:pPr>
              <w:widowControl w:val="0"/>
              <w:pBdr>
                <w:top w:val="none" w:color="auto" w:sz="0" w:space="1"/>
                <w:left w:val="none" w:color="auto" w:sz="0" w:space="4"/>
                <w:bottom w:val="none" w:color="auto" w:sz="0" w:space="1"/>
                <w:right w:val="none" w:color="auto" w:sz="0" w:space="4"/>
                <w:between w:val="none" w:color="auto" w:sz="0" w:space="0"/>
              </w:pBdr>
              <w:spacing w:line="277" w:lineRule="auto"/>
              <w:jc w:val="both"/>
              <w:rPr>
                <w:rFonts w:ascii="Arial"/>
                <w:sz w:val="21"/>
              </w:rPr>
            </w:pPr>
          </w:p>
          <w:p w14:paraId="760624EC">
            <w:pPr>
              <w:widowControl w:val="0"/>
              <w:pBdr>
                <w:top w:val="none" w:color="auto" w:sz="0" w:space="1"/>
                <w:left w:val="none" w:color="auto" w:sz="0" w:space="4"/>
                <w:bottom w:val="none" w:color="auto" w:sz="0" w:space="1"/>
                <w:right w:val="none" w:color="auto" w:sz="0" w:space="4"/>
                <w:between w:val="none" w:color="auto" w:sz="0" w:space="0"/>
              </w:pBdr>
              <w:spacing w:line="277" w:lineRule="auto"/>
              <w:jc w:val="both"/>
              <w:rPr>
                <w:rFonts w:ascii="Arial"/>
                <w:sz w:val="21"/>
              </w:rPr>
            </w:pPr>
          </w:p>
          <w:p w14:paraId="01B91EBB">
            <w:pPr>
              <w:jc w:val="center"/>
            </w:pPr>
            <w:r>
              <w:rPr>
                <w:rFonts w:hint="eastAsia" w:ascii="仿宋" w:hAnsi="仿宋" w:eastAsia="仿宋" w:cs="仿宋"/>
                <w:b/>
                <w:bCs/>
                <w:sz w:val="24"/>
                <w:szCs w:val="24"/>
                <w:vertAlign w:val="baseline"/>
                <w:lang w:val="en-US" w:eastAsia="zh-CN"/>
              </w:rPr>
              <w:t>现场服务</w:t>
            </w:r>
          </w:p>
        </w:tc>
        <w:tc>
          <w:tcPr>
            <w:tcW w:w="8401" w:type="dxa"/>
            <w:tcBorders>
              <w:tl2br w:val="nil"/>
              <w:tr2bl w:val="nil"/>
            </w:tcBorders>
            <w:vAlign w:val="top"/>
          </w:tcPr>
          <w:p w14:paraId="4228EEE7">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jc w:val="both"/>
              <w:rPr>
                <w:spacing w:val="8"/>
              </w:rPr>
            </w:pPr>
            <w:r>
              <w:rPr>
                <w:spacing w:val="8"/>
              </w:rPr>
              <w:t>安排工程师进行现场</w:t>
            </w:r>
            <w:r>
              <w:rPr>
                <w:rFonts w:hint="eastAsia"/>
                <w:spacing w:val="8"/>
                <w:lang w:val="en-US" w:eastAsia="zh-CN"/>
              </w:rPr>
              <w:t>或线上</w:t>
            </w:r>
            <w:r>
              <w:rPr>
                <w:spacing w:val="8"/>
              </w:rPr>
              <w:t>服务</w:t>
            </w:r>
            <w:r>
              <w:rPr>
                <w:rFonts w:hint="eastAsia"/>
                <w:spacing w:val="8"/>
                <w:lang w:eastAsia="zh-CN"/>
              </w:rPr>
              <w:t>，</w:t>
            </w:r>
            <w:r>
              <w:rPr>
                <w:spacing w:val="8"/>
              </w:rPr>
              <w:t>并提供以下服务内容：</w:t>
            </w:r>
          </w:p>
          <w:p w14:paraId="30B22817">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rFonts w:hint="eastAsia" w:eastAsia="微软雅黑"/>
                <w:spacing w:val="8"/>
                <w:lang w:val="en-US" w:eastAsia="zh-CN"/>
              </w:rPr>
            </w:pPr>
            <w:r>
              <w:rPr>
                <w:rFonts w:hint="eastAsia"/>
                <w:spacing w:val="8"/>
                <w:lang w:val="en-US" w:eastAsia="zh-CN"/>
              </w:rPr>
              <w:t>1、提供实施交付团队根据医院实际业务需求进行开发、调试、培训，确保系统上线使用。</w:t>
            </w:r>
          </w:p>
          <w:p w14:paraId="4B5DBCAD">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rFonts w:hint="eastAsia" w:ascii="宋体" w:hAnsi="宋体" w:cs="宋体"/>
                <w:bCs/>
                <w:szCs w:val="21"/>
              </w:rPr>
            </w:pPr>
            <w:r>
              <w:rPr>
                <w:rFonts w:hint="eastAsia"/>
                <w:spacing w:val="8"/>
                <w:lang w:val="en-US" w:eastAsia="zh-CN"/>
              </w:rPr>
              <w:t>2</w:t>
            </w:r>
            <w:r>
              <w:rPr>
                <w:spacing w:val="8"/>
              </w:rPr>
              <w:t>、</w:t>
            </w:r>
            <w:r>
              <w:rPr>
                <w:rFonts w:hint="eastAsia" w:ascii="宋体" w:hAnsi="宋体" w:cs="宋体"/>
                <w:bCs/>
                <w:szCs w:val="21"/>
              </w:rPr>
              <w:t>提供专业人员现场技术培训，培训对象至少包括系统管理员、业务管理人员、系统操作员，培训效果应使系统使用人员熟练掌握系统操作技能和日常维护技能；具体培训内容、培训时间和场地安排可另行约定</w:t>
            </w:r>
          </w:p>
          <w:p w14:paraId="0914DB8D">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spacing w:val="8"/>
              </w:rPr>
            </w:pPr>
            <w:r>
              <w:rPr>
                <w:rFonts w:hint="eastAsia"/>
                <w:spacing w:val="8"/>
                <w:lang w:val="en-US" w:eastAsia="zh-CN"/>
              </w:rPr>
              <w:t>3</w:t>
            </w:r>
            <w:r>
              <w:rPr>
                <w:spacing w:val="8"/>
              </w:rPr>
              <w:t>、</w:t>
            </w:r>
            <w:r>
              <w:rPr>
                <w:rFonts w:hint="eastAsia"/>
                <w:spacing w:val="8"/>
              </w:rPr>
              <w:t>提供固定至少1名技术客服人员随时提供技术服务，提供 7×24小时电话技术支持。技术响应处理：质保期内出现问题，工作日对于接到的用户技术咨询，保证 20 分钟内响应，远程服务在2小时内提出解决方案并解决。其中，远程无法解决的，自收到用户的服务请求后24小时内抵达现场完成故障处理；如遇到重大技术问题，及时组织有关技术专家进行会诊，并保证在24小时内采取相应措施以确保恢复系统的正常运行。</w:t>
            </w:r>
          </w:p>
        </w:tc>
      </w:tr>
      <w:tr w14:paraId="44D8D5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910" w:hRule="atLeast"/>
        </w:trPr>
        <w:tc>
          <w:tcPr>
            <w:tcW w:w="789" w:type="dxa"/>
            <w:vMerge w:val="continue"/>
            <w:tcBorders>
              <w:tl2br w:val="nil"/>
              <w:tr2bl w:val="nil"/>
            </w:tcBorders>
            <w:vAlign w:val="top"/>
          </w:tcPr>
          <w:p w14:paraId="699AC46D">
            <w:pPr>
              <w:widowControl w:val="0"/>
              <w:pBdr>
                <w:top w:val="none" w:color="auto" w:sz="0" w:space="1"/>
                <w:left w:val="none" w:color="auto" w:sz="0" w:space="4"/>
                <w:bottom w:val="none" w:color="auto" w:sz="0" w:space="1"/>
                <w:right w:val="none" w:color="auto" w:sz="0" w:space="4"/>
                <w:between w:val="none" w:color="auto" w:sz="0" w:space="0"/>
              </w:pBdr>
              <w:jc w:val="both"/>
              <w:rPr>
                <w:rFonts w:ascii="Arial"/>
                <w:sz w:val="21"/>
              </w:rPr>
            </w:pPr>
          </w:p>
        </w:tc>
        <w:tc>
          <w:tcPr>
            <w:tcW w:w="1266" w:type="dxa"/>
            <w:tcBorders>
              <w:tl2br w:val="nil"/>
              <w:tr2bl w:val="nil"/>
            </w:tcBorders>
            <w:vAlign w:val="top"/>
          </w:tcPr>
          <w:p w14:paraId="212EA1CB">
            <w:pPr>
              <w:widowControl w:val="0"/>
              <w:pBdr>
                <w:top w:val="none" w:color="auto" w:sz="0" w:space="1"/>
                <w:left w:val="none" w:color="auto" w:sz="0" w:space="4"/>
                <w:bottom w:val="none" w:color="auto" w:sz="0" w:space="1"/>
                <w:right w:val="none" w:color="auto" w:sz="0" w:space="4"/>
                <w:between w:val="none" w:color="auto" w:sz="0" w:space="0"/>
              </w:pBdr>
              <w:spacing w:line="264" w:lineRule="auto"/>
              <w:jc w:val="both"/>
              <w:rPr>
                <w:rFonts w:ascii="Arial"/>
                <w:sz w:val="21"/>
              </w:rPr>
            </w:pPr>
          </w:p>
          <w:p w14:paraId="74B71E6A">
            <w:pPr>
              <w:widowControl w:val="0"/>
              <w:pBdr>
                <w:top w:val="none" w:color="auto" w:sz="0" w:space="1"/>
                <w:left w:val="none" w:color="auto" w:sz="0" w:space="4"/>
                <w:bottom w:val="none" w:color="auto" w:sz="0" w:space="1"/>
                <w:right w:val="none" w:color="auto" w:sz="0" w:space="4"/>
                <w:between w:val="none" w:color="auto" w:sz="0" w:space="0"/>
              </w:pBdr>
              <w:spacing w:line="264" w:lineRule="auto"/>
              <w:jc w:val="both"/>
              <w:rPr>
                <w:rFonts w:ascii="Arial"/>
                <w:sz w:val="21"/>
              </w:rPr>
            </w:pPr>
          </w:p>
          <w:p w14:paraId="33445A09">
            <w:pPr>
              <w:widowControl w:val="0"/>
              <w:pBdr>
                <w:top w:val="none" w:color="auto" w:sz="0" w:space="1"/>
                <w:left w:val="none" w:color="auto" w:sz="0" w:space="4"/>
                <w:bottom w:val="none" w:color="auto" w:sz="0" w:space="1"/>
                <w:right w:val="none" w:color="auto" w:sz="0" w:space="4"/>
                <w:between w:val="none" w:color="auto" w:sz="0" w:space="0"/>
              </w:pBdr>
              <w:spacing w:line="264" w:lineRule="auto"/>
              <w:jc w:val="both"/>
              <w:rPr>
                <w:rFonts w:ascii="Arial"/>
                <w:sz w:val="21"/>
              </w:rPr>
            </w:pPr>
          </w:p>
          <w:p w14:paraId="51ABC027">
            <w:pPr>
              <w:widowControl w:val="0"/>
              <w:pBdr>
                <w:top w:val="none" w:color="auto" w:sz="0" w:space="1"/>
                <w:left w:val="none" w:color="auto" w:sz="0" w:space="4"/>
                <w:bottom w:val="none" w:color="auto" w:sz="0" w:space="1"/>
                <w:right w:val="none" w:color="auto" w:sz="0" w:space="4"/>
                <w:between w:val="none" w:color="auto" w:sz="0" w:space="0"/>
              </w:pBdr>
              <w:spacing w:line="264" w:lineRule="auto"/>
              <w:jc w:val="both"/>
              <w:rPr>
                <w:rFonts w:ascii="Arial"/>
                <w:sz w:val="21"/>
              </w:rPr>
            </w:pPr>
          </w:p>
          <w:p w14:paraId="72C9074D">
            <w:pPr>
              <w:widowControl w:val="0"/>
              <w:pBdr>
                <w:top w:val="none" w:color="auto" w:sz="0" w:space="1"/>
                <w:left w:val="none" w:color="auto" w:sz="0" w:space="4"/>
                <w:bottom w:val="none" w:color="auto" w:sz="0" w:space="1"/>
                <w:right w:val="none" w:color="auto" w:sz="0" w:space="4"/>
                <w:between w:val="none" w:color="auto" w:sz="0" w:space="0"/>
              </w:pBdr>
              <w:spacing w:line="264" w:lineRule="auto"/>
              <w:jc w:val="both"/>
              <w:rPr>
                <w:rFonts w:ascii="Arial"/>
                <w:sz w:val="21"/>
              </w:rPr>
            </w:pPr>
          </w:p>
          <w:p w14:paraId="59B85F16">
            <w:pPr>
              <w:widowControl w:val="0"/>
              <w:pBdr>
                <w:top w:val="none" w:color="auto" w:sz="0" w:space="1"/>
                <w:left w:val="none" w:color="auto" w:sz="0" w:space="4"/>
                <w:bottom w:val="none" w:color="auto" w:sz="0" w:space="1"/>
                <w:right w:val="none" w:color="auto" w:sz="0" w:space="4"/>
                <w:between w:val="none" w:color="auto" w:sz="0" w:space="0"/>
              </w:pBdr>
              <w:spacing w:line="264" w:lineRule="auto"/>
              <w:jc w:val="both"/>
              <w:rPr>
                <w:rFonts w:ascii="Arial"/>
                <w:sz w:val="21"/>
              </w:rPr>
            </w:pPr>
          </w:p>
          <w:p w14:paraId="4070DEB9">
            <w:pPr>
              <w:jc w:val="center"/>
            </w:pPr>
            <w:r>
              <w:rPr>
                <w:rFonts w:hint="eastAsia" w:ascii="仿宋" w:hAnsi="仿宋" w:eastAsia="仿宋" w:cs="仿宋"/>
                <w:b/>
                <w:bCs/>
                <w:sz w:val="24"/>
                <w:szCs w:val="24"/>
                <w:vertAlign w:val="baseline"/>
                <w:lang w:val="en-US" w:eastAsia="zh-CN"/>
              </w:rPr>
              <w:t>系统升级</w:t>
            </w:r>
          </w:p>
        </w:tc>
        <w:tc>
          <w:tcPr>
            <w:tcW w:w="8401" w:type="dxa"/>
            <w:tcBorders>
              <w:tl2br w:val="nil"/>
              <w:tr2bl w:val="nil"/>
            </w:tcBorders>
            <w:vAlign w:val="top"/>
          </w:tcPr>
          <w:p w14:paraId="3A9428D5">
            <w:pPr>
              <w:pStyle w:val="6"/>
              <w:widowControl w:val="0"/>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spacing w:val="8"/>
              </w:rPr>
            </w:pPr>
            <w:r>
              <w:rPr>
                <w:spacing w:val="8"/>
              </w:rPr>
              <w:t>安排工程师为医院进行系统升级</w:t>
            </w:r>
            <w:r>
              <w:rPr>
                <w:rFonts w:hint="eastAsia"/>
                <w:spacing w:val="8"/>
                <w:lang w:eastAsia="zh-CN"/>
              </w:rPr>
              <w:t>，</w:t>
            </w:r>
            <w:r>
              <w:rPr>
                <w:spacing w:val="8"/>
              </w:rPr>
              <w:t>提供各项升级后的服务内容：</w:t>
            </w:r>
          </w:p>
          <w:p w14:paraId="25F0057E">
            <w:pPr>
              <w:pStyle w:val="6"/>
              <w:widowControl w:val="0"/>
              <w:numPr>
                <w:ilvl w:val="0"/>
                <w:numId w:val="1"/>
              </w:numPr>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rFonts w:hint="eastAsia"/>
                <w:spacing w:val="8"/>
              </w:rPr>
            </w:pPr>
            <w:r>
              <w:rPr>
                <w:rFonts w:hint="eastAsia"/>
                <w:spacing w:val="8"/>
              </w:rPr>
              <w:t>涉及指南更新、国家标准更新、卫健委红头文件、省市红头文件要求涉及的功能变更，承诺此类更新不收取任何定制开发费用。</w:t>
            </w:r>
          </w:p>
          <w:p w14:paraId="22891C42">
            <w:pPr>
              <w:pStyle w:val="6"/>
              <w:widowControl w:val="0"/>
              <w:numPr>
                <w:ilvl w:val="0"/>
                <w:numId w:val="1"/>
              </w:numPr>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rFonts w:hint="eastAsia"/>
                <w:spacing w:val="8"/>
              </w:rPr>
            </w:pPr>
            <w:r>
              <w:rPr>
                <w:rFonts w:hint="eastAsia"/>
                <w:spacing w:val="8"/>
                <w:lang w:val="en-US" w:eastAsia="zh-CN"/>
              </w:rPr>
              <w:t>维护期内，提供定期优化、更新或升级软件和服务（例如功能强化、修改、版本升级等）</w:t>
            </w:r>
          </w:p>
        </w:tc>
      </w:tr>
      <w:tr w14:paraId="602EAE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1022" w:hRule="atLeast"/>
        </w:trPr>
        <w:tc>
          <w:tcPr>
            <w:tcW w:w="789" w:type="dxa"/>
            <w:vMerge w:val="continue"/>
            <w:tcBorders>
              <w:tl2br w:val="nil"/>
              <w:tr2bl w:val="nil"/>
            </w:tcBorders>
            <w:vAlign w:val="top"/>
          </w:tcPr>
          <w:p w14:paraId="3AA190B9">
            <w:pPr>
              <w:widowControl w:val="0"/>
              <w:pBdr>
                <w:top w:val="none" w:color="auto" w:sz="0" w:space="1"/>
                <w:left w:val="none" w:color="auto" w:sz="0" w:space="4"/>
                <w:bottom w:val="none" w:color="auto" w:sz="0" w:space="1"/>
                <w:right w:val="none" w:color="auto" w:sz="0" w:space="4"/>
                <w:between w:val="none" w:color="auto" w:sz="0" w:space="0"/>
              </w:pBdr>
              <w:jc w:val="both"/>
              <w:rPr>
                <w:rFonts w:ascii="Arial"/>
                <w:sz w:val="21"/>
              </w:rPr>
            </w:pPr>
          </w:p>
        </w:tc>
        <w:tc>
          <w:tcPr>
            <w:tcW w:w="1266" w:type="dxa"/>
            <w:tcBorders>
              <w:tl2br w:val="nil"/>
              <w:tr2bl w:val="nil"/>
            </w:tcBorders>
            <w:vAlign w:val="top"/>
          </w:tcPr>
          <w:p w14:paraId="24295F00">
            <w:pPr>
              <w:widowControl w:val="0"/>
              <w:pBdr>
                <w:top w:val="none" w:color="auto" w:sz="0" w:space="1"/>
                <w:left w:val="none" w:color="auto" w:sz="0" w:space="4"/>
                <w:bottom w:val="none" w:color="auto" w:sz="0" w:space="1"/>
                <w:right w:val="none" w:color="auto" w:sz="0" w:space="4"/>
                <w:between w:val="none" w:color="auto" w:sz="0" w:space="0"/>
              </w:pBdr>
              <w:spacing w:line="360" w:lineRule="auto"/>
              <w:jc w:val="both"/>
              <w:rPr>
                <w:rFonts w:ascii="Arial"/>
                <w:sz w:val="21"/>
              </w:rPr>
            </w:pPr>
          </w:p>
          <w:p w14:paraId="25E4998E">
            <w:pPr>
              <w:jc w:val="center"/>
            </w:pPr>
            <w:r>
              <w:rPr>
                <w:rFonts w:hint="eastAsia" w:ascii="仿宋" w:hAnsi="仿宋" w:eastAsia="仿宋" w:cs="仿宋"/>
                <w:b/>
                <w:bCs/>
                <w:sz w:val="24"/>
                <w:szCs w:val="24"/>
                <w:vertAlign w:val="baseline"/>
                <w:lang w:val="en-US" w:eastAsia="zh-CN"/>
              </w:rPr>
              <w:t>数据上报</w:t>
            </w:r>
          </w:p>
        </w:tc>
        <w:tc>
          <w:tcPr>
            <w:tcW w:w="8401" w:type="dxa"/>
            <w:tcBorders>
              <w:tl2br w:val="nil"/>
              <w:tr2bl w:val="nil"/>
            </w:tcBorders>
            <w:vAlign w:val="top"/>
          </w:tcPr>
          <w:p w14:paraId="0D037DBC">
            <w:pPr>
              <w:pStyle w:val="6"/>
              <w:widowControl w:val="0"/>
              <w:numPr>
                <w:ilvl w:val="0"/>
                <w:numId w:val="2"/>
              </w:numPr>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rFonts w:hint="eastAsia"/>
                <w:spacing w:val="8"/>
              </w:rPr>
            </w:pPr>
            <w:r>
              <w:rPr>
                <w:rFonts w:hint="eastAsia"/>
                <w:spacing w:val="8"/>
                <w:lang w:val="en-US" w:eastAsia="zh-CN"/>
              </w:rPr>
              <w:t>支持根据</w:t>
            </w:r>
            <w:r>
              <w:rPr>
                <w:rFonts w:hint="eastAsia"/>
                <w:spacing w:val="8"/>
              </w:rPr>
              <w:t>VTE防治中心数据上报汇总，支持按照月份筛选，汇总数据可以导出下载。</w:t>
            </w:r>
          </w:p>
          <w:p w14:paraId="7E7BD283">
            <w:pPr>
              <w:pStyle w:val="6"/>
              <w:widowControl w:val="0"/>
              <w:numPr>
                <w:ilvl w:val="0"/>
                <w:numId w:val="2"/>
              </w:numPr>
              <w:pBdr>
                <w:top w:val="none" w:color="auto" w:sz="0" w:space="1"/>
                <w:left w:val="none" w:color="auto" w:sz="0" w:space="4"/>
                <w:bottom w:val="none" w:color="auto" w:sz="0" w:space="1"/>
                <w:right w:val="none" w:color="auto" w:sz="0" w:space="4"/>
                <w:between w:val="none" w:color="auto" w:sz="0" w:space="0"/>
              </w:pBdr>
              <w:spacing w:before="43" w:line="234" w:lineRule="auto"/>
              <w:ind w:left="138"/>
              <w:jc w:val="both"/>
              <w:rPr>
                <w:rFonts w:hint="eastAsia"/>
                <w:spacing w:val="8"/>
                <w:lang w:val="en-US" w:eastAsia="zh-CN"/>
              </w:rPr>
            </w:pPr>
            <w:r>
              <w:rPr>
                <w:rFonts w:hint="eastAsia"/>
                <w:spacing w:val="8"/>
                <w:lang w:val="en-US" w:eastAsia="zh-CN"/>
              </w:rPr>
              <w:t>支持根据NCIS数据统计汇总，支持按照年份筛选，汇总数据可以导出下载。</w:t>
            </w:r>
          </w:p>
        </w:tc>
      </w:tr>
    </w:tbl>
    <w:p w14:paraId="5EDD8C09">
      <w:pPr>
        <w:widowControl w:val="0"/>
        <w:pBdr>
          <w:top w:val="none" w:color="auto" w:sz="0" w:space="1"/>
          <w:left w:val="none" w:color="auto" w:sz="0" w:space="4"/>
          <w:bottom w:val="none" w:color="auto" w:sz="0" w:space="1"/>
          <w:right w:val="none" w:color="auto" w:sz="0" w:space="4"/>
          <w:between w:val="none" w:color="auto" w:sz="0" w:space="0"/>
        </w:pBdr>
        <w:spacing w:before="3"/>
        <w:jc w:val="both"/>
      </w:pPr>
    </w:p>
    <w:p w14:paraId="7F29BE99">
      <w:pPr>
        <w:spacing w:before="3"/>
      </w:pPr>
    </w:p>
    <w:p w14:paraId="4165887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i w:val="0"/>
          <w:iCs w:val="0"/>
          <w:caps w:val="0"/>
          <w:color w:val="000000"/>
          <w:spacing w:val="0"/>
          <w:sz w:val="31"/>
          <w:szCs w:val="31"/>
          <w:vertAlign w:val="baseline"/>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8B908E7-E61A-40C3-A2A0-6F05921DCF8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23584075-7E3C-44C0-B3DD-4E02A88F5729}"/>
  </w:font>
  <w:font w:name="仿宋">
    <w:panose1 w:val="02010609060101010101"/>
    <w:charset w:val="86"/>
    <w:family w:val="auto"/>
    <w:pitch w:val="default"/>
    <w:sig w:usb0="800002BF" w:usb1="38CF7CFA" w:usb2="00000016" w:usb3="00000000" w:csb0="00040001" w:csb1="00000000"/>
    <w:embedRegular r:id="rId3" w:fontKey="{6B94F826-36C9-4336-8735-381D45190A38}"/>
  </w:font>
  <w:font w:name="汉仪中宋简">
    <w:panose1 w:val="02010600000101010101"/>
    <w:charset w:val="80"/>
    <w:family w:val="auto"/>
    <w:pitch w:val="default"/>
    <w:sig w:usb0="800002BF" w:usb1="184F6CF8" w:usb2="00000012" w:usb3="00000000" w:csb0="0002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3BDE">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C56A9"/>
    <w:multiLevelType w:val="singleLevel"/>
    <w:tmpl w:val="BF6C56A9"/>
    <w:lvl w:ilvl="0" w:tentative="0">
      <w:start w:val="1"/>
      <w:numFmt w:val="decimal"/>
      <w:suff w:val="nothing"/>
      <w:lvlText w:val="%1、"/>
      <w:lvlJc w:val="left"/>
    </w:lvl>
  </w:abstractNum>
  <w:abstractNum w:abstractNumId="1">
    <w:nsid w:val="4252EF06"/>
    <w:multiLevelType w:val="singleLevel"/>
    <w:tmpl w:val="4252EF0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9F7894"/>
    <w:rsid w:val="03BC13AE"/>
    <w:rsid w:val="06344E0E"/>
    <w:rsid w:val="0A716D95"/>
    <w:rsid w:val="0E8D2CE9"/>
    <w:rsid w:val="0FC667E1"/>
    <w:rsid w:val="139F7894"/>
    <w:rsid w:val="1F9E3368"/>
    <w:rsid w:val="20D4302D"/>
    <w:rsid w:val="214076B5"/>
    <w:rsid w:val="25611C8D"/>
    <w:rsid w:val="29192F0D"/>
    <w:rsid w:val="32B819E9"/>
    <w:rsid w:val="4AAA5ACB"/>
    <w:rsid w:val="5AB03121"/>
    <w:rsid w:val="62233ED9"/>
    <w:rsid w:val="69F15DEB"/>
    <w:rsid w:val="73ED2599"/>
    <w:rsid w:val="7407369F"/>
    <w:rsid w:val="781216CD"/>
    <w:rsid w:val="7BE349AD"/>
    <w:rsid w:val="7C540886"/>
    <w:rsid w:val="7E3A287F"/>
    <w:rsid w:val="7FEF2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5056</Words>
  <Characters>5405</Characters>
  <Lines>0</Lines>
  <Paragraphs>0</Paragraphs>
  <TotalTime>13</TotalTime>
  <ScaleCrop>false</ScaleCrop>
  <LinksUpToDate>false</LinksUpToDate>
  <CharactersWithSpaces>5410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2025-05-06T01:34:00Z</dcterms:created>
  <dc:creator>张怡</dc:creator>
  <cp:lastModifiedBy>上帝</cp:lastModifiedBy>
  <cp:lastPrinted>2026-02-25T06:44:17Z</cp:lastPrinted>
  <dcterms:modified xsi:type="dcterms:W3CDTF">2026-02-25T06:49:06Z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4BF6B908EB3948D981A9959CB56958BC_13</vt:lpwstr>
  </property>
  <property fmtid="{D5CDD505-2E9C-101B-9397-08002B2CF9AE}" pid="4" name="KSOTemplateDocerSaveRecord">
    <vt:lpwstr>eyJoZGlkIjoiN2UzNGNkZWJlNjNjNjIyOTVhOWJlOTFkY2U0OTk4OWIiLCJ1c2VySWQiOiIzMTgxNzc0OTAifQ==</vt:lpwstr>
  </property>
</Properties>
</file>