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417"/>
        <w:gridCol w:w="1134"/>
        <w:gridCol w:w="1417"/>
        <w:gridCol w:w="1134"/>
        <w:gridCol w:w="2551"/>
      </w:tblGrid>
      <w:tr w14:paraId="0742F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772A814D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bookmarkStart w:id="1" w:name="_GoBack"/>
            <w:bookmarkEnd w:id="1"/>
            <w:r>
              <w:rPr>
                <w:rFonts w:hint="eastAsia" w:ascii="黑体" w:hAnsi="黑体" w:eastAsia="黑体"/>
                <w:b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D4DE7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伦理办公室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5AC2CEF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文件类型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90217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指南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57CE3CE6">
            <w:pPr>
              <w:jc w:val="center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文件编号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FA93B26">
            <w:pPr>
              <w:jc w:val="center"/>
              <w:rPr>
                <w:rFonts w:ascii="隶书" w:eastAsia="隶书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PHLS-LW-ZN-001-02</w:t>
            </w:r>
          </w:p>
        </w:tc>
      </w:tr>
    </w:tbl>
    <w:p w14:paraId="02A9A9A2">
      <w:pPr>
        <w:adjustRightInd w:val="0"/>
        <w:snapToGrid w:val="0"/>
        <w:rPr>
          <w:rFonts w:ascii="隶书" w:eastAsia="隶书"/>
          <w:sz w:val="72"/>
          <w:szCs w:val="72"/>
        </w:rPr>
      </w:pPr>
    </w:p>
    <w:p w14:paraId="4C76B020">
      <w:pPr>
        <w:adjustRightInd w:val="0"/>
        <w:snapToGrid w:val="0"/>
        <w:rPr>
          <w:rFonts w:ascii="隶书" w:eastAsia="隶书"/>
          <w:sz w:val="72"/>
          <w:szCs w:val="72"/>
        </w:rPr>
      </w:pPr>
      <w:r>
        <w:rPr>
          <w:rFonts w:hint="eastAsia" w:ascii="隶书" w:eastAsia="隶书"/>
          <w:sz w:val="72"/>
          <w:szCs w:val="7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1440180</wp:posOffset>
            </wp:positionV>
            <wp:extent cx="983615" cy="983615"/>
            <wp:effectExtent l="19050" t="0" r="6985" b="0"/>
            <wp:wrapSquare wrapText="bothSides"/>
            <wp:docPr id="5" name="图片 1" descr="说明: IMG_4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说明: IMG_435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3615" cy="983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254701">
      <w:pPr>
        <w:adjustRightInd w:val="0"/>
        <w:snapToGrid w:val="0"/>
        <w:rPr>
          <w:rFonts w:ascii="隶书" w:eastAsia="隶书"/>
          <w:sz w:val="72"/>
          <w:szCs w:val="72"/>
        </w:rPr>
      </w:pPr>
    </w:p>
    <w:p w14:paraId="3F1805D0">
      <w:pPr>
        <w:adjustRightInd w:val="0"/>
        <w:snapToGrid w:val="0"/>
        <w:rPr>
          <w:rFonts w:ascii="隶书" w:eastAsia="隶书"/>
          <w:sz w:val="72"/>
          <w:szCs w:val="72"/>
        </w:rPr>
      </w:pPr>
    </w:p>
    <w:p w14:paraId="7900D292">
      <w:pPr>
        <w:adjustRightInd w:val="0"/>
        <w:snapToGrid w:val="0"/>
        <w:spacing w:line="360" w:lineRule="auto"/>
        <w:jc w:val="center"/>
        <w:rPr>
          <w:rFonts w:ascii="方正小标宋简体" w:hAnsi="黑体" w:eastAsia="方正小标宋简体"/>
          <w:sz w:val="56"/>
          <w:szCs w:val="56"/>
        </w:rPr>
      </w:pPr>
      <w:r>
        <w:rPr>
          <w:rFonts w:hint="eastAsia" w:ascii="方正小标宋简体" w:hAnsi="黑体" w:eastAsia="方正小标宋简体"/>
          <w:sz w:val="56"/>
          <w:szCs w:val="56"/>
        </w:rPr>
        <w:t>伦理审查申请指南</w:t>
      </w:r>
    </w:p>
    <w:p w14:paraId="33A4E72E">
      <w:pPr>
        <w:adjustRightInd w:val="0"/>
        <w:snapToGrid w:val="0"/>
        <w:spacing w:line="360" w:lineRule="auto"/>
        <w:jc w:val="center"/>
        <w:rPr>
          <w:rFonts w:ascii="隶书" w:eastAsia="隶书"/>
          <w:sz w:val="72"/>
          <w:szCs w:val="72"/>
        </w:rPr>
      </w:pPr>
      <w:r>
        <w:rPr>
          <w:rFonts w:hint="eastAsia" w:ascii="方正小标宋简体" w:hAnsi="黑体" w:eastAsia="方正小标宋简体"/>
          <w:sz w:val="44"/>
          <w:szCs w:val="44"/>
        </w:rPr>
        <w:t>文件编号：</w:t>
      </w:r>
      <w:r>
        <w:rPr>
          <w:rFonts w:hint="eastAsia"/>
          <w:sz w:val="44"/>
          <w:szCs w:val="44"/>
        </w:rPr>
        <w:t>PHLS-LW-ZN-001-02</w:t>
      </w:r>
    </w:p>
    <w:p w14:paraId="7FEB86C0">
      <w:pPr>
        <w:adjustRightInd w:val="0"/>
        <w:snapToGrid w:val="0"/>
        <w:jc w:val="center"/>
        <w:rPr>
          <w:rFonts w:ascii="隶书" w:eastAsia="隶书"/>
          <w:sz w:val="72"/>
          <w:szCs w:val="72"/>
        </w:rPr>
      </w:pPr>
    </w:p>
    <w:p w14:paraId="236A56FA">
      <w:pPr>
        <w:adjustRightInd w:val="0"/>
        <w:snapToGrid w:val="0"/>
        <w:rPr>
          <w:rFonts w:ascii="隶书" w:eastAsia="隶书"/>
          <w:sz w:val="72"/>
          <w:szCs w:val="72"/>
        </w:rPr>
      </w:pPr>
    </w:p>
    <w:p w14:paraId="76EC2F44">
      <w:pPr>
        <w:adjustRightInd w:val="0"/>
        <w:snapToGrid w:val="0"/>
        <w:rPr>
          <w:rFonts w:ascii="隶书" w:eastAsia="隶书"/>
          <w:sz w:val="72"/>
          <w:szCs w:val="72"/>
        </w:rPr>
      </w:pPr>
    </w:p>
    <w:tbl>
      <w:tblPr>
        <w:tblStyle w:val="10"/>
        <w:tblW w:w="974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2174"/>
        <w:gridCol w:w="1032"/>
        <w:gridCol w:w="1472"/>
        <w:gridCol w:w="1432"/>
        <w:gridCol w:w="2160"/>
      </w:tblGrid>
      <w:tr w14:paraId="637CB4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476" w:type="dxa"/>
            <w:vAlign w:val="center"/>
          </w:tcPr>
          <w:p w14:paraId="1833CD0A">
            <w:pPr>
              <w:pStyle w:val="15"/>
              <w:spacing w:before="1"/>
              <w:ind w:right="22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文件类型</w:t>
            </w:r>
          </w:p>
        </w:tc>
        <w:tc>
          <w:tcPr>
            <w:tcW w:w="2174" w:type="dxa"/>
            <w:vAlign w:val="center"/>
          </w:tcPr>
          <w:p w14:paraId="2D4583AE">
            <w:pPr>
              <w:pStyle w:val="15"/>
              <w:jc w:val="center"/>
              <w:rPr>
                <w:rFonts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指南</w:t>
            </w:r>
          </w:p>
        </w:tc>
        <w:tc>
          <w:tcPr>
            <w:tcW w:w="1032" w:type="dxa"/>
            <w:vAlign w:val="center"/>
          </w:tcPr>
          <w:p w14:paraId="3A7EB078">
            <w:pPr>
              <w:pStyle w:val="15"/>
              <w:spacing w:before="1"/>
              <w:ind w:right="189"/>
              <w:jc w:val="center"/>
              <w:rPr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</w:rPr>
              <w:t>版 本</w:t>
            </w:r>
          </w:p>
        </w:tc>
        <w:tc>
          <w:tcPr>
            <w:tcW w:w="1472" w:type="dxa"/>
            <w:vAlign w:val="center"/>
          </w:tcPr>
          <w:p w14:paraId="082F36F7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  <w:r>
              <w:rPr>
                <w:rFonts w:ascii="Times New Roman"/>
                <w:sz w:val="24"/>
              </w:rPr>
              <w:t>V</w:t>
            </w:r>
            <w:r>
              <w:rPr>
                <w:rFonts w:hint="eastAsia" w:ascii="Times New Roman"/>
                <w:sz w:val="24"/>
                <w:lang w:val="en-US" w:eastAsia="zh-CN"/>
              </w:rPr>
              <w:t>2.1</w:t>
            </w:r>
          </w:p>
        </w:tc>
        <w:tc>
          <w:tcPr>
            <w:tcW w:w="1432" w:type="dxa"/>
            <w:vAlign w:val="center"/>
          </w:tcPr>
          <w:p w14:paraId="03178E6F">
            <w:pPr>
              <w:pStyle w:val="15"/>
              <w:spacing w:before="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正文页数</w:t>
            </w:r>
          </w:p>
        </w:tc>
        <w:tc>
          <w:tcPr>
            <w:tcW w:w="2160" w:type="dxa"/>
            <w:vAlign w:val="center"/>
          </w:tcPr>
          <w:p w14:paraId="7B80B009">
            <w:pPr>
              <w:pStyle w:val="15"/>
              <w:jc w:val="center"/>
              <w:rPr>
                <w:rFonts w:ascii="Times New Roman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5</w:t>
            </w:r>
          </w:p>
        </w:tc>
      </w:tr>
      <w:tr w14:paraId="6B382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476" w:type="dxa"/>
            <w:vAlign w:val="center"/>
          </w:tcPr>
          <w:p w14:paraId="04ED74B9">
            <w:pPr>
              <w:pStyle w:val="15"/>
              <w:ind w:right="22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编订部门</w:t>
            </w:r>
          </w:p>
        </w:tc>
        <w:tc>
          <w:tcPr>
            <w:tcW w:w="2174" w:type="dxa"/>
            <w:vAlign w:val="center"/>
          </w:tcPr>
          <w:p w14:paraId="49DE6A47">
            <w:pPr>
              <w:pStyle w:val="15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临床试验伦理委员会</w:t>
            </w:r>
          </w:p>
        </w:tc>
        <w:tc>
          <w:tcPr>
            <w:tcW w:w="1032" w:type="dxa"/>
            <w:vAlign w:val="center"/>
          </w:tcPr>
          <w:p w14:paraId="285D81DF">
            <w:pPr>
              <w:pStyle w:val="15"/>
              <w:ind w:right="14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w w:val="95"/>
                <w:sz w:val="24"/>
              </w:rPr>
              <w:t>编订人</w:t>
            </w:r>
          </w:p>
        </w:tc>
        <w:tc>
          <w:tcPr>
            <w:tcW w:w="1472" w:type="dxa"/>
            <w:vAlign w:val="center"/>
          </w:tcPr>
          <w:p w14:paraId="1343091C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432" w:type="dxa"/>
            <w:vAlign w:val="center"/>
          </w:tcPr>
          <w:p w14:paraId="34893B04">
            <w:pPr>
              <w:pStyle w:val="1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编订日期</w:t>
            </w:r>
          </w:p>
        </w:tc>
        <w:tc>
          <w:tcPr>
            <w:tcW w:w="2160" w:type="dxa"/>
            <w:vAlign w:val="center"/>
          </w:tcPr>
          <w:p w14:paraId="564AC7CF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</w:p>
        </w:tc>
      </w:tr>
      <w:tr w14:paraId="104908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476" w:type="dxa"/>
            <w:vAlign w:val="center"/>
          </w:tcPr>
          <w:p w14:paraId="062F44E2">
            <w:pPr>
              <w:pStyle w:val="15"/>
              <w:ind w:right="22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审核部门</w:t>
            </w:r>
          </w:p>
        </w:tc>
        <w:tc>
          <w:tcPr>
            <w:tcW w:w="2174" w:type="dxa"/>
            <w:vAlign w:val="center"/>
          </w:tcPr>
          <w:p w14:paraId="6EF7603A">
            <w:pPr>
              <w:pStyle w:val="15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临床试验伦理委员会</w:t>
            </w:r>
          </w:p>
        </w:tc>
        <w:tc>
          <w:tcPr>
            <w:tcW w:w="1032" w:type="dxa"/>
            <w:vAlign w:val="center"/>
          </w:tcPr>
          <w:p w14:paraId="7B823BB4">
            <w:pPr>
              <w:pStyle w:val="15"/>
              <w:ind w:right="14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w w:val="95"/>
                <w:sz w:val="24"/>
              </w:rPr>
              <w:t>审核人</w:t>
            </w:r>
          </w:p>
        </w:tc>
        <w:tc>
          <w:tcPr>
            <w:tcW w:w="1472" w:type="dxa"/>
            <w:vAlign w:val="center"/>
          </w:tcPr>
          <w:p w14:paraId="7C62DBD8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432" w:type="dxa"/>
            <w:vAlign w:val="center"/>
          </w:tcPr>
          <w:p w14:paraId="4C79703B">
            <w:pPr>
              <w:pStyle w:val="1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审核日期</w:t>
            </w:r>
          </w:p>
        </w:tc>
        <w:tc>
          <w:tcPr>
            <w:tcW w:w="2160" w:type="dxa"/>
            <w:vAlign w:val="center"/>
          </w:tcPr>
          <w:p w14:paraId="30FFF1F8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</w:p>
        </w:tc>
      </w:tr>
      <w:tr w14:paraId="67534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476" w:type="dxa"/>
            <w:vAlign w:val="center"/>
          </w:tcPr>
          <w:p w14:paraId="542FCD3D">
            <w:pPr>
              <w:pStyle w:val="15"/>
              <w:spacing w:before="1"/>
              <w:ind w:right="22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  <w:lang w:eastAsia="zh-CN"/>
              </w:rPr>
              <w:t>批准</w:t>
            </w:r>
            <w:r>
              <w:rPr>
                <w:rFonts w:hint="eastAsia"/>
                <w:b/>
                <w:sz w:val="24"/>
              </w:rPr>
              <w:t>部门</w:t>
            </w:r>
          </w:p>
        </w:tc>
        <w:tc>
          <w:tcPr>
            <w:tcW w:w="2174" w:type="dxa"/>
            <w:vAlign w:val="center"/>
          </w:tcPr>
          <w:p w14:paraId="2A454315">
            <w:pPr>
              <w:pStyle w:val="15"/>
              <w:rPr>
                <w:rFonts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临床试验伦理委员会</w:t>
            </w:r>
          </w:p>
        </w:tc>
        <w:tc>
          <w:tcPr>
            <w:tcW w:w="1032" w:type="dxa"/>
            <w:vAlign w:val="center"/>
          </w:tcPr>
          <w:p w14:paraId="2CB3718B">
            <w:pPr>
              <w:pStyle w:val="15"/>
              <w:spacing w:before="1"/>
              <w:ind w:right="14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w w:val="95"/>
                <w:sz w:val="24"/>
              </w:rPr>
              <w:t>批准人</w:t>
            </w:r>
          </w:p>
        </w:tc>
        <w:tc>
          <w:tcPr>
            <w:tcW w:w="1472" w:type="dxa"/>
            <w:vAlign w:val="center"/>
          </w:tcPr>
          <w:p w14:paraId="20D11965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</w:p>
        </w:tc>
        <w:tc>
          <w:tcPr>
            <w:tcW w:w="1432" w:type="dxa"/>
            <w:vAlign w:val="center"/>
          </w:tcPr>
          <w:p w14:paraId="1015EED6">
            <w:pPr>
              <w:pStyle w:val="15"/>
              <w:spacing w:before="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批准日期</w:t>
            </w:r>
          </w:p>
        </w:tc>
        <w:tc>
          <w:tcPr>
            <w:tcW w:w="2160" w:type="dxa"/>
            <w:vAlign w:val="center"/>
          </w:tcPr>
          <w:p w14:paraId="745CB081">
            <w:pPr>
              <w:pStyle w:val="15"/>
              <w:jc w:val="center"/>
              <w:rPr>
                <w:rFonts w:ascii="Times New Roman"/>
                <w:sz w:val="24"/>
                <w:lang w:eastAsia="zh-CN"/>
              </w:rPr>
            </w:pPr>
          </w:p>
        </w:tc>
      </w:tr>
      <w:tr w14:paraId="0155BC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1476" w:type="dxa"/>
            <w:vAlign w:val="center"/>
          </w:tcPr>
          <w:p w14:paraId="44F98731">
            <w:pPr>
              <w:pStyle w:val="15"/>
              <w:spacing w:before="213"/>
              <w:ind w:right="22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分发部门</w:t>
            </w:r>
          </w:p>
        </w:tc>
        <w:tc>
          <w:tcPr>
            <w:tcW w:w="8270" w:type="dxa"/>
            <w:gridSpan w:val="5"/>
            <w:vAlign w:val="center"/>
          </w:tcPr>
          <w:p w14:paraId="0299D000">
            <w:pPr>
              <w:pStyle w:val="15"/>
              <w:jc w:val="center"/>
              <w:rPr>
                <w:rFonts w:ascii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 w:bidi="ar-SA"/>
              </w:rPr>
              <w:t>伦理办公室</w:t>
            </w:r>
          </w:p>
        </w:tc>
      </w:tr>
      <w:tr w14:paraId="26CF9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9746" w:type="dxa"/>
            <w:gridSpan w:val="6"/>
            <w:vAlign w:val="center"/>
          </w:tcPr>
          <w:p w14:paraId="779EB557">
            <w:pPr>
              <w:pStyle w:val="15"/>
              <w:ind w:left="107"/>
              <w:jc w:val="center"/>
              <w:rPr>
                <w:rFonts w:asciiTheme="minorEastAsia" w:hAnsiTheme="minorEastAsia" w:eastAsia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本文件为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乐山市人民医院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产权，所有机密未经相关部门许可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不得擅自使用、泄露、公布及出版</w:t>
            </w:r>
            <w:r>
              <w:rPr>
                <w:rFonts w:hint="eastAsia" w:asciiTheme="minorEastAsia" w:hAnsiTheme="minorEastAsia" w:eastAsiaTheme="minorEastAsia"/>
                <w:szCs w:val="21"/>
                <w:lang w:eastAsia="zh-CN"/>
              </w:rPr>
              <w:t>。</w:t>
            </w:r>
          </w:p>
        </w:tc>
      </w:tr>
    </w:tbl>
    <w:p w14:paraId="1C986CDA">
      <w:pPr>
        <w:widowControl/>
        <w:jc w:val="left"/>
        <w:rPr>
          <w:b/>
          <w:bCs/>
          <w:sz w:val="24"/>
        </w:rPr>
        <w:sectPr>
          <w:pgSz w:w="11906" w:h="16838"/>
          <w:pgMar w:top="1134" w:right="1134" w:bottom="1134" w:left="1701" w:header="454" w:footer="567" w:gutter="0"/>
          <w:cols w:space="425" w:num="1"/>
          <w:titlePg/>
          <w:docGrid w:type="lines" w:linePitch="312" w:charSpace="0"/>
        </w:sectPr>
      </w:pPr>
      <w:bookmarkStart w:id="0" w:name="OLE_LINK2"/>
    </w:p>
    <w:bookmarkEnd w:id="0"/>
    <w:p w14:paraId="7CB3DEA4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it-IT"/>
        </w:rPr>
        <w:t>伦理审查申请指南</w:t>
      </w:r>
    </w:p>
    <w:p w14:paraId="1270D588">
      <w:pPr>
        <w:adjustRightInd w:val="0"/>
        <w:snapToGrid w:val="0"/>
        <w:spacing w:line="360" w:lineRule="auto"/>
        <w:ind w:firstLine="480" w:firstLineChars="200"/>
        <w:jc w:val="left"/>
        <w:rPr>
          <w:bCs/>
          <w:sz w:val="24"/>
          <w:szCs w:val="21"/>
        </w:rPr>
      </w:pPr>
    </w:p>
    <w:p w14:paraId="52A0380C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为指导申办者提交</w:t>
      </w:r>
      <w:r>
        <w:rPr>
          <w:rFonts w:hint="eastAsia"/>
          <w:bCs/>
          <w:color w:val="auto"/>
          <w:sz w:val="24"/>
          <w:szCs w:val="21"/>
        </w:rPr>
        <w:t>的</w:t>
      </w:r>
      <w:r>
        <w:rPr>
          <w:bCs/>
          <w:color w:val="auto"/>
          <w:sz w:val="24"/>
          <w:szCs w:val="21"/>
        </w:rPr>
        <w:t>药物</w:t>
      </w:r>
      <w:r>
        <w:rPr>
          <w:rFonts w:hint="eastAsia"/>
          <w:bCs/>
          <w:color w:val="auto"/>
          <w:sz w:val="24"/>
          <w:szCs w:val="21"/>
        </w:rPr>
        <w:t>/医疗器械</w:t>
      </w:r>
      <w:r>
        <w:rPr>
          <w:bCs/>
          <w:color w:val="auto"/>
          <w:sz w:val="24"/>
          <w:szCs w:val="21"/>
        </w:rPr>
        <w:t>临床试验项目</w:t>
      </w:r>
      <w:r>
        <w:rPr>
          <w:rFonts w:hint="eastAsia"/>
          <w:bCs/>
          <w:color w:val="auto"/>
          <w:sz w:val="24"/>
          <w:szCs w:val="21"/>
        </w:rPr>
        <w:t>、研究者发起的临床研究项目</w:t>
      </w:r>
      <w:r>
        <w:rPr>
          <w:bCs/>
          <w:color w:val="auto"/>
          <w:sz w:val="24"/>
          <w:szCs w:val="21"/>
        </w:rPr>
        <w:t>的伦理审查申请／报告。根据国家药品监督管理局令《药物临床试验质量管理规范》2020年第57号</w:t>
      </w:r>
      <w:r>
        <w:rPr>
          <w:rFonts w:hint="eastAsia"/>
          <w:bCs/>
          <w:color w:val="auto"/>
          <w:sz w:val="24"/>
          <w:szCs w:val="21"/>
        </w:rPr>
        <w:t>、</w:t>
      </w:r>
      <w:r>
        <w:rPr>
          <w:bCs/>
          <w:color w:val="auto"/>
          <w:sz w:val="24"/>
          <w:szCs w:val="21"/>
        </w:rPr>
        <w:t>国食药监注《药物临床试验伦理审查工作指导原则》[2010]436号和国卫科教发</w:t>
      </w:r>
      <w:r>
        <w:rPr>
          <w:rFonts w:hint="eastAsia"/>
          <w:bCs/>
          <w:color w:val="auto"/>
          <w:sz w:val="24"/>
          <w:szCs w:val="21"/>
          <w:lang w:eastAsia="zh-CN"/>
        </w:rPr>
        <w:t>《涉及人的生命科学和医学研究伦理审查办法》</w:t>
      </w:r>
      <w:r>
        <w:rPr>
          <w:rFonts w:hint="eastAsia"/>
          <w:bCs/>
          <w:color w:val="auto"/>
          <w:sz w:val="24"/>
          <w:szCs w:val="21"/>
        </w:rPr>
        <w:t>〔2023〕4号</w:t>
      </w:r>
      <w:r>
        <w:rPr>
          <w:rFonts w:hint="eastAsia"/>
          <w:bCs/>
          <w:color w:val="auto"/>
          <w:sz w:val="24"/>
          <w:szCs w:val="21"/>
          <w:lang w:eastAsia="zh-CN"/>
        </w:rPr>
        <w:t>、国家药监局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 xml:space="preserve"> </w:t>
      </w:r>
      <w:r>
        <w:rPr>
          <w:rFonts w:hint="eastAsia"/>
          <w:bCs/>
          <w:color w:val="auto"/>
          <w:sz w:val="24"/>
          <w:szCs w:val="21"/>
          <w:lang w:eastAsia="zh-CN"/>
        </w:rPr>
        <w:t>国家卫生健康委关于发布《医疗器械临床试验质量管理规范》的公告（2022年第28号）</w:t>
      </w:r>
      <w:r>
        <w:rPr>
          <w:rFonts w:hint="eastAsia"/>
          <w:bCs/>
          <w:color w:val="auto"/>
          <w:sz w:val="24"/>
          <w:szCs w:val="21"/>
        </w:rPr>
        <w:t>以及本院实际情况</w:t>
      </w:r>
      <w:r>
        <w:rPr>
          <w:rFonts w:hint="eastAsia" w:ascii="宋体" w:hAnsi="宋体"/>
          <w:bCs/>
          <w:color w:val="auto"/>
          <w:sz w:val="24"/>
          <w:szCs w:val="21"/>
        </w:rPr>
        <w:t>,</w:t>
      </w:r>
      <w:r>
        <w:rPr>
          <w:bCs/>
          <w:color w:val="auto"/>
          <w:sz w:val="24"/>
          <w:szCs w:val="21"/>
        </w:rPr>
        <w:t>制订本指南。</w:t>
      </w:r>
    </w:p>
    <w:p w14:paraId="69DC407B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一、伦理审查申请／报告的类别</w:t>
      </w:r>
    </w:p>
    <w:p w14:paraId="365BB737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1.初始审查</w:t>
      </w:r>
    </w:p>
    <w:p w14:paraId="0FBF95B3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初始审查申请是指首次向</w:t>
      </w:r>
      <w:r>
        <w:rPr>
          <w:rFonts w:hint="eastAsia"/>
          <w:bCs/>
          <w:color w:val="auto"/>
          <w:sz w:val="24"/>
          <w:szCs w:val="21"/>
        </w:rPr>
        <w:t>临床试验</w:t>
      </w:r>
      <w:r>
        <w:rPr>
          <w:bCs/>
          <w:color w:val="auto"/>
          <w:sz w:val="24"/>
          <w:szCs w:val="21"/>
        </w:rPr>
        <w:t>伦理委员会提交的审查申请。符合上述范围的临床项目，应</w:t>
      </w:r>
      <w:r>
        <w:rPr>
          <w:rFonts w:hint="eastAsia"/>
          <w:bCs/>
          <w:color w:val="auto"/>
          <w:sz w:val="24"/>
          <w:szCs w:val="21"/>
        </w:rPr>
        <w:t>当在研究开始之前提交</w:t>
      </w:r>
      <w:r>
        <w:rPr>
          <w:bCs/>
          <w:color w:val="auto"/>
          <w:sz w:val="24"/>
          <w:szCs w:val="21"/>
        </w:rPr>
        <w:t>伦理审查申请，经</w:t>
      </w:r>
      <w:r>
        <w:rPr>
          <w:rFonts w:hint="eastAsia"/>
          <w:bCs/>
          <w:color w:val="auto"/>
          <w:sz w:val="24"/>
          <w:szCs w:val="21"/>
        </w:rPr>
        <w:t>审查同意</w:t>
      </w:r>
      <w:r>
        <w:rPr>
          <w:bCs/>
          <w:color w:val="auto"/>
          <w:sz w:val="24"/>
          <w:szCs w:val="21"/>
        </w:rPr>
        <w:t>后方可实施。</w:t>
      </w:r>
    </w:p>
    <w:p w14:paraId="28294CD7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2.跟踪审查</w:t>
      </w:r>
    </w:p>
    <w:p w14:paraId="078B192D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2.1</w:t>
      </w:r>
      <w:r>
        <w:rPr>
          <w:bCs/>
          <w:color w:val="auto"/>
          <w:sz w:val="24"/>
          <w:szCs w:val="21"/>
        </w:rPr>
        <w:t>修正案审查：</w:t>
      </w:r>
    </w:p>
    <w:p w14:paraId="12C853B6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（1）</w:t>
      </w:r>
      <w:r>
        <w:rPr>
          <w:bCs/>
          <w:color w:val="auto"/>
          <w:sz w:val="24"/>
          <w:szCs w:val="21"/>
        </w:rPr>
        <w:t>研究过程中若变更主要研究者，</w:t>
      </w:r>
      <w:r>
        <w:rPr>
          <w:rFonts w:hint="eastAsia"/>
          <w:bCs/>
          <w:color w:val="auto"/>
          <w:sz w:val="24"/>
          <w:szCs w:val="21"/>
        </w:rPr>
        <w:t>或</w:t>
      </w:r>
      <w:r>
        <w:rPr>
          <w:bCs/>
          <w:color w:val="auto"/>
          <w:sz w:val="24"/>
          <w:szCs w:val="21"/>
        </w:rPr>
        <w:t>对临床研究方案、知情同意书、招募材料</w:t>
      </w:r>
      <w:r>
        <w:rPr>
          <w:rFonts w:hint="eastAsia"/>
          <w:bCs/>
          <w:color w:val="auto"/>
          <w:sz w:val="24"/>
          <w:szCs w:val="21"/>
        </w:rPr>
        <w:t>、以及提供给受试者的其他书面资料</w:t>
      </w:r>
      <w:r>
        <w:rPr>
          <w:bCs/>
          <w:color w:val="auto"/>
          <w:sz w:val="24"/>
          <w:szCs w:val="21"/>
        </w:rPr>
        <w:t>的修改，应向伦理委员会提交修正案审查申请，经</w:t>
      </w:r>
      <w:r>
        <w:rPr>
          <w:rFonts w:hint="eastAsia"/>
          <w:bCs/>
          <w:color w:val="auto"/>
          <w:sz w:val="24"/>
          <w:szCs w:val="21"/>
        </w:rPr>
        <w:t>同意</w:t>
      </w:r>
      <w:r>
        <w:rPr>
          <w:bCs/>
          <w:color w:val="auto"/>
          <w:sz w:val="24"/>
          <w:szCs w:val="21"/>
        </w:rPr>
        <w:t>后执行。</w:t>
      </w:r>
    </w:p>
    <w:p w14:paraId="65AB5DB4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（2）研究方案的修改仅涉及研究管理或后勤方面，例如更换监查员、变更电话号码、变更药品批号，变更本中心研究例数等需提交本伦理委员会进行备案。</w:t>
      </w:r>
    </w:p>
    <w:p w14:paraId="6DDE7790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（3）</w:t>
      </w:r>
      <w:r>
        <w:rPr>
          <w:bCs/>
          <w:color w:val="auto"/>
          <w:sz w:val="24"/>
          <w:szCs w:val="21"/>
        </w:rPr>
        <w:t>为避免研究对受试者的即刻危险，研究者可在伦理委员会</w:t>
      </w:r>
      <w:r>
        <w:rPr>
          <w:rFonts w:hint="eastAsia"/>
          <w:bCs/>
          <w:color w:val="auto"/>
          <w:sz w:val="24"/>
          <w:szCs w:val="21"/>
        </w:rPr>
        <w:t>同意</w:t>
      </w:r>
      <w:r>
        <w:rPr>
          <w:bCs/>
          <w:color w:val="auto"/>
          <w:sz w:val="24"/>
          <w:szCs w:val="21"/>
        </w:rPr>
        <w:t>前修改研究方案，事后应将修改研究方案的情况及原因，以“修正案审查申请”的方式及时提交伦理委员会审查。</w:t>
      </w:r>
    </w:p>
    <w:p w14:paraId="6F3155B8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2.2年度</w:t>
      </w:r>
      <w:r>
        <w:rPr>
          <w:rFonts w:hint="eastAsia" w:ascii="宋体" w:hAnsi="宋体"/>
          <w:bCs/>
          <w:color w:val="auto"/>
          <w:sz w:val="24"/>
          <w:szCs w:val="21"/>
        </w:rPr>
        <w:t>/</w:t>
      </w:r>
      <w:r>
        <w:rPr>
          <w:rFonts w:hint="eastAsia"/>
          <w:bCs/>
          <w:color w:val="auto"/>
          <w:sz w:val="24"/>
          <w:szCs w:val="21"/>
        </w:rPr>
        <w:t>定期跟踪审查</w:t>
      </w:r>
      <w:r>
        <w:rPr>
          <w:bCs/>
          <w:color w:val="auto"/>
          <w:sz w:val="24"/>
          <w:szCs w:val="21"/>
        </w:rPr>
        <w:t>：</w:t>
      </w:r>
    </w:p>
    <w:p w14:paraId="1C1263AB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研究者应当</w:t>
      </w:r>
      <w:r>
        <w:rPr>
          <w:bCs/>
          <w:color w:val="auto"/>
          <w:sz w:val="24"/>
          <w:szCs w:val="21"/>
        </w:rPr>
        <w:t>按照伦理审查</w:t>
      </w:r>
      <w:r>
        <w:rPr>
          <w:rFonts w:hint="eastAsia"/>
          <w:bCs/>
          <w:color w:val="auto"/>
          <w:sz w:val="24"/>
          <w:szCs w:val="21"/>
        </w:rPr>
        <w:t>意见</w:t>
      </w:r>
      <w:r>
        <w:rPr>
          <w:bCs/>
          <w:color w:val="auto"/>
          <w:sz w:val="24"/>
          <w:szCs w:val="21"/>
        </w:rPr>
        <w:t>规定的年度</w:t>
      </w:r>
      <w:r>
        <w:rPr>
          <w:rFonts w:hint="eastAsia"/>
          <w:bCs/>
          <w:color w:val="auto"/>
          <w:sz w:val="24"/>
          <w:szCs w:val="21"/>
        </w:rPr>
        <w:t>/</w:t>
      </w:r>
      <w:r>
        <w:rPr>
          <w:bCs/>
          <w:color w:val="auto"/>
          <w:sz w:val="24"/>
          <w:szCs w:val="21"/>
        </w:rPr>
        <w:t>定期跟踪审查频率，在截止日期前1</w:t>
      </w:r>
      <w:r>
        <w:rPr>
          <w:rFonts w:hint="eastAsia"/>
          <w:bCs/>
          <w:color w:val="auto"/>
          <w:sz w:val="24"/>
          <w:szCs w:val="21"/>
        </w:rPr>
        <w:t>周</w:t>
      </w:r>
      <w:r>
        <w:rPr>
          <w:bCs/>
          <w:color w:val="auto"/>
          <w:sz w:val="24"/>
          <w:szCs w:val="21"/>
        </w:rPr>
        <w:t>提交研究进展报告；当出现任何可能显著影响研究进行或增加受试者危险的情况时，应以</w:t>
      </w:r>
      <w:r>
        <w:rPr>
          <w:rFonts w:hint="eastAsia"/>
          <w:bCs/>
          <w:color w:val="auto"/>
          <w:sz w:val="24"/>
          <w:szCs w:val="21"/>
        </w:rPr>
        <w:t>“</w:t>
      </w:r>
      <w:r>
        <w:rPr>
          <w:bCs/>
          <w:color w:val="auto"/>
          <w:sz w:val="24"/>
          <w:szCs w:val="21"/>
        </w:rPr>
        <w:t>研究进展报告</w:t>
      </w:r>
      <w:r>
        <w:rPr>
          <w:rFonts w:hint="eastAsia"/>
          <w:bCs/>
          <w:color w:val="auto"/>
          <w:sz w:val="24"/>
          <w:szCs w:val="21"/>
        </w:rPr>
        <w:t>”</w:t>
      </w:r>
      <w:r>
        <w:rPr>
          <w:bCs/>
          <w:color w:val="auto"/>
          <w:sz w:val="24"/>
          <w:szCs w:val="21"/>
        </w:rPr>
        <w:t>的方式，及时报伦理委员会审查。如果伦理审查</w:t>
      </w:r>
      <w:r>
        <w:rPr>
          <w:rFonts w:hint="eastAsia"/>
          <w:bCs/>
          <w:color w:val="auto"/>
          <w:sz w:val="24"/>
          <w:szCs w:val="21"/>
        </w:rPr>
        <w:t>意见</w:t>
      </w:r>
      <w:r>
        <w:rPr>
          <w:bCs/>
          <w:color w:val="auto"/>
          <w:sz w:val="24"/>
          <w:szCs w:val="21"/>
        </w:rPr>
        <w:t>有效期到期，而项目没有</w:t>
      </w:r>
      <w:r>
        <w:rPr>
          <w:rFonts w:hint="eastAsia"/>
          <w:bCs/>
          <w:color w:val="auto"/>
          <w:sz w:val="24"/>
          <w:szCs w:val="21"/>
        </w:rPr>
        <w:t>完成</w:t>
      </w:r>
      <w:r>
        <w:rPr>
          <w:bCs/>
          <w:color w:val="auto"/>
          <w:sz w:val="24"/>
          <w:szCs w:val="21"/>
        </w:rPr>
        <w:t>，</w:t>
      </w:r>
      <w:r>
        <w:rPr>
          <w:rFonts w:hint="eastAsia"/>
          <w:bCs/>
          <w:color w:val="auto"/>
          <w:sz w:val="24"/>
          <w:szCs w:val="21"/>
        </w:rPr>
        <w:t>可以通过研究进展报告申请延长有效期，经同意</w:t>
      </w:r>
      <w:r>
        <w:rPr>
          <w:bCs/>
          <w:color w:val="auto"/>
          <w:sz w:val="24"/>
          <w:szCs w:val="21"/>
        </w:rPr>
        <w:t>后方可实施。</w:t>
      </w:r>
    </w:p>
    <w:p w14:paraId="5013DDE1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2.3安全信息审查</w:t>
      </w:r>
      <w:r>
        <w:rPr>
          <w:bCs/>
          <w:color w:val="auto"/>
          <w:sz w:val="24"/>
          <w:szCs w:val="21"/>
        </w:rPr>
        <w:t>：</w:t>
      </w:r>
    </w:p>
    <w:p w14:paraId="067AD2D7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研究者应当向伦理委员会提交申办方提供的安全性报告，包括可疑且非预期</w:t>
      </w:r>
      <w:r>
        <w:rPr>
          <w:bCs/>
          <w:color w:val="auto"/>
          <w:sz w:val="24"/>
          <w:szCs w:val="21"/>
        </w:rPr>
        <w:t>严重不良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反应</w:t>
      </w:r>
      <w:r>
        <w:rPr>
          <w:rFonts w:hint="eastAsia"/>
          <w:bCs/>
          <w:color w:val="auto"/>
          <w:sz w:val="24"/>
          <w:szCs w:val="21"/>
        </w:rPr>
        <w:t>（SUSAR）、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医疗器械严重不良反应（SAE）及器械缺陷、</w:t>
      </w:r>
      <w:r>
        <w:rPr>
          <w:rFonts w:hint="eastAsia"/>
          <w:color w:val="auto"/>
          <w:sz w:val="24"/>
        </w:rPr>
        <w:t>其他潜在的严重安全性风险信息的报告，年度安全性报告</w:t>
      </w:r>
      <w:r>
        <w:rPr>
          <w:rFonts w:hint="eastAsia"/>
          <w:bCs/>
          <w:color w:val="auto"/>
          <w:sz w:val="24"/>
          <w:szCs w:val="21"/>
        </w:rPr>
        <w:t>。</w:t>
      </w:r>
    </w:p>
    <w:p w14:paraId="1E9A93D5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  <w:highlight w:val="yellow"/>
        </w:rPr>
      </w:pPr>
      <w:r>
        <w:rPr>
          <w:rFonts w:hint="eastAsia"/>
          <w:bCs/>
          <w:color w:val="auto"/>
          <w:sz w:val="24"/>
          <w:szCs w:val="21"/>
        </w:rPr>
        <w:t>（1）可疑且非预期</w:t>
      </w:r>
      <w:r>
        <w:rPr>
          <w:bCs/>
          <w:color w:val="auto"/>
          <w:sz w:val="24"/>
          <w:szCs w:val="21"/>
        </w:rPr>
        <w:t>严重不良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反应</w:t>
      </w:r>
      <w:r>
        <w:rPr>
          <w:rFonts w:hint="eastAsia"/>
          <w:bCs/>
          <w:color w:val="auto"/>
          <w:sz w:val="24"/>
          <w:szCs w:val="21"/>
        </w:rPr>
        <w:t>报告：研究者</w:t>
      </w:r>
      <w:r>
        <w:rPr>
          <w:bCs/>
          <w:color w:val="auto"/>
          <w:sz w:val="24"/>
          <w:szCs w:val="21"/>
        </w:rPr>
        <w:t>应</w:t>
      </w:r>
      <w:r>
        <w:rPr>
          <w:rFonts w:hint="eastAsia"/>
          <w:bCs/>
          <w:color w:val="auto"/>
          <w:sz w:val="24"/>
          <w:szCs w:val="21"/>
        </w:rPr>
        <w:t>当</w:t>
      </w:r>
      <w:r>
        <w:rPr>
          <w:bCs/>
          <w:color w:val="auto"/>
          <w:sz w:val="24"/>
          <w:szCs w:val="21"/>
        </w:rPr>
        <w:t>向伦理委员会</w:t>
      </w:r>
      <w:r>
        <w:rPr>
          <w:rFonts w:hint="eastAsia"/>
          <w:bCs/>
          <w:color w:val="auto"/>
          <w:sz w:val="24"/>
          <w:szCs w:val="21"/>
        </w:rPr>
        <w:t>快速</w:t>
      </w:r>
      <w:r>
        <w:rPr>
          <w:bCs/>
          <w:color w:val="auto"/>
          <w:sz w:val="24"/>
          <w:szCs w:val="21"/>
        </w:rPr>
        <w:t>报告</w:t>
      </w:r>
      <w:r>
        <w:rPr>
          <w:rFonts w:hint="eastAsia"/>
          <w:bCs/>
          <w:color w:val="auto"/>
          <w:sz w:val="24"/>
          <w:szCs w:val="21"/>
        </w:rPr>
        <w:t>由申办方提供的可疑且非预期</w:t>
      </w:r>
      <w:r>
        <w:rPr>
          <w:bCs/>
          <w:color w:val="auto"/>
          <w:sz w:val="24"/>
          <w:szCs w:val="21"/>
        </w:rPr>
        <w:t>严重不良</w:t>
      </w:r>
      <w:r>
        <w:rPr>
          <w:rFonts w:hint="eastAsia"/>
          <w:bCs/>
          <w:color w:val="auto"/>
          <w:sz w:val="24"/>
          <w:szCs w:val="21"/>
        </w:rPr>
        <w:t>反应。快速报告的时限：致死或危及生命的应在首次获知后7天内报告。非致死或危及生命的应在首次获知后15天内报告。随访报告应在获得新信息起15天内。</w:t>
      </w:r>
    </w:p>
    <w:p w14:paraId="7EE1657A">
      <w:pPr>
        <w:numPr>
          <w:ilvl w:val="0"/>
          <w:numId w:val="0"/>
        </w:numPr>
        <w:adjustRightInd w:val="0"/>
        <w:snapToGrid w:val="0"/>
        <w:spacing w:line="360" w:lineRule="auto"/>
        <w:ind w:firstLine="480" w:firstLineChars="200"/>
        <w:jc w:val="left"/>
        <w:rPr>
          <w:rFonts w:hint="eastAsia"/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（2）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医疗器械严重不良反应报告：研究者应当立即对受试者采取适当的治疗措施;同时，研究者应当在获知严重不良事件后 24小时内，向伦理委员会报告；并按照临床试验方案的规定随访严重不良事件，提交严重不良事件随访报告。</w:t>
      </w:r>
    </w:p>
    <w:p w14:paraId="67155C9D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  <w:lang w:eastAsia="zh-CN"/>
        </w:rPr>
        <w:t>（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3</w:t>
      </w:r>
      <w:r>
        <w:rPr>
          <w:rFonts w:hint="eastAsia"/>
          <w:bCs/>
          <w:color w:val="auto"/>
          <w:sz w:val="24"/>
          <w:szCs w:val="21"/>
          <w:lang w:eastAsia="zh-CN"/>
        </w:rPr>
        <w:t>）</w:t>
      </w:r>
      <w:r>
        <w:rPr>
          <w:rFonts w:hint="eastAsia"/>
          <w:bCs/>
          <w:color w:val="auto"/>
          <w:sz w:val="24"/>
          <w:szCs w:val="21"/>
        </w:rPr>
        <w:t>其他潜在的严重安全性风险信息的报告：申办者分析评估任何来源的安全性信息时发现：①明显影响药品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/医疗器械</w:t>
      </w:r>
      <w:r>
        <w:rPr>
          <w:rFonts w:hint="eastAsia"/>
          <w:bCs/>
          <w:color w:val="auto"/>
          <w:sz w:val="24"/>
          <w:szCs w:val="21"/>
        </w:rPr>
        <w:t>风险获益评估的信息或可能考虑药品用品用法改变，或影响总体药品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/医疗器械</w:t>
      </w:r>
      <w:r>
        <w:rPr>
          <w:rFonts w:hint="eastAsia"/>
          <w:bCs/>
          <w:color w:val="auto"/>
          <w:sz w:val="24"/>
          <w:szCs w:val="21"/>
        </w:rPr>
        <w:t>研发进程的消息，应当尽快报告。②从其他来源获得的与试验药物相关的非预期严重不良反应</w:t>
      </w:r>
      <w:r>
        <w:rPr>
          <w:rFonts w:hint="eastAsia"/>
          <w:bCs/>
          <w:color w:val="auto"/>
          <w:sz w:val="24"/>
          <w:szCs w:val="21"/>
          <w:lang w:eastAsia="zh-CN"/>
        </w:rPr>
        <w:t>、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医疗器械严重不良反应（SAE）及器械缺陷</w:t>
      </w:r>
      <w:r>
        <w:rPr>
          <w:rFonts w:hint="eastAsia"/>
          <w:bCs/>
          <w:color w:val="auto"/>
          <w:sz w:val="24"/>
          <w:szCs w:val="21"/>
        </w:rPr>
        <w:t>及其他潜在严重安全性风险的信息，应当快速报告。</w:t>
      </w:r>
    </w:p>
    <w:p w14:paraId="79C42A55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4</w:t>
      </w:r>
      <w:r>
        <w:rPr>
          <w:rFonts w:hint="eastAsia"/>
          <w:bCs/>
          <w:color w:val="auto"/>
          <w:sz w:val="24"/>
          <w:szCs w:val="21"/>
        </w:rPr>
        <w:t>）年度安全性报告：申办方的研发期间安全性更新报告中的执行概要，并附严重不良反应累积汇总表，以及最新修订版的研究者手册副本。</w:t>
      </w:r>
    </w:p>
    <w:p w14:paraId="49AB59FC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2.4方案偏离审查</w:t>
      </w:r>
      <w:r>
        <w:rPr>
          <w:bCs/>
          <w:color w:val="auto"/>
          <w:sz w:val="24"/>
          <w:szCs w:val="21"/>
        </w:rPr>
        <w:t>：</w:t>
      </w:r>
    </w:p>
    <w:p w14:paraId="17FDD5F6">
      <w:pPr>
        <w:adjustRightInd w:val="0"/>
        <w:snapToGrid w:val="0"/>
        <w:spacing w:line="360" w:lineRule="auto"/>
        <w:ind w:firstLine="480" w:firstLineChars="200"/>
        <w:jc w:val="left"/>
        <w:rPr>
          <w:color w:val="auto"/>
          <w:sz w:val="24"/>
        </w:rPr>
      </w:pPr>
      <w:r>
        <w:rPr>
          <w:rFonts w:hint="eastAsia"/>
          <w:bCs/>
          <w:color w:val="auto"/>
          <w:sz w:val="24"/>
          <w:szCs w:val="21"/>
        </w:rPr>
        <w:t>（1）</w:t>
      </w:r>
      <w:r>
        <w:rPr>
          <w:rFonts w:hint="eastAsia"/>
          <w:color w:val="auto"/>
          <w:sz w:val="24"/>
        </w:rPr>
        <w:t>为避免研究对受试者的紧急危害，研究者可在伦理委员会同意前偏离研究方案，事后应当及时向伦理委员会报告任何偏离已同意方案之处并作解释。</w:t>
      </w:r>
    </w:p>
    <w:p w14:paraId="5A44E0D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（2）</w:t>
      </w:r>
      <w:r>
        <w:rPr>
          <w:rFonts w:hint="eastAsia"/>
          <w:color w:val="auto"/>
          <w:sz w:val="24"/>
        </w:rPr>
        <w:t>对可能影响临床试验的实施，增加受试者的风险；影响受试者继续参加试验的意愿；影响数据质量与完整性的重要的方案偏离研究者/申办方应及时报告伦理委员会。</w:t>
      </w:r>
    </w:p>
    <w:p w14:paraId="01BBB702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（3）其他的方案违背，可以定期汇总向伦理委员会报告。</w:t>
      </w:r>
    </w:p>
    <w:p w14:paraId="5B3CF131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2.5</w:t>
      </w:r>
      <w:r>
        <w:rPr>
          <w:bCs/>
          <w:color w:val="auto"/>
          <w:sz w:val="24"/>
          <w:szCs w:val="21"/>
        </w:rPr>
        <w:t>暂停／</w:t>
      </w:r>
      <w:r>
        <w:rPr>
          <w:rFonts w:hint="eastAsia"/>
          <w:bCs/>
          <w:color w:val="auto"/>
          <w:sz w:val="24"/>
          <w:szCs w:val="21"/>
        </w:rPr>
        <w:t>终止研究审查</w:t>
      </w:r>
      <w:r>
        <w:rPr>
          <w:bCs/>
          <w:color w:val="auto"/>
          <w:sz w:val="24"/>
          <w:szCs w:val="21"/>
        </w:rPr>
        <w:t>：</w:t>
      </w:r>
    </w:p>
    <w:p w14:paraId="58530DF5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研究者／申办者暂停或提前终止临床研究，</w:t>
      </w:r>
      <w:r>
        <w:rPr>
          <w:rFonts w:hint="eastAsia"/>
          <w:bCs/>
          <w:color w:val="auto"/>
          <w:sz w:val="24"/>
          <w:szCs w:val="21"/>
        </w:rPr>
        <w:t>应在1周内</w:t>
      </w:r>
      <w:r>
        <w:rPr>
          <w:bCs/>
          <w:color w:val="auto"/>
          <w:sz w:val="24"/>
          <w:szCs w:val="21"/>
        </w:rPr>
        <w:t>向伦理委员提交暂停或终止研究报告。</w:t>
      </w:r>
    </w:p>
    <w:p w14:paraId="5648724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2.6研究完成审查</w:t>
      </w:r>
      <w:r>
        <w:rPr>
          <w:bCs/>
          <w:color w:val="auto"/>
          <w:sz w:val="24"/>
          <w:szCs w:val="21"/>
        </w:rPr>
        <w:t>：</w:t>
      </w:r>
    </w:p>
    <w:p w14:paraId="621BBEE9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（本中心）研究</w:t>
      </w:r>
      <w:r>
        <w:rPr>
          <w:bCs/>
          <w:color w:val="auto"/>
          <w:sz w:val="24"/>
          <w:szCs w:val="21"/>
        </w:rPr>
        <w:t>完成</w:t>
      </w:r>
      <w:r>
        <w:rPr>
          <w:rFonts w:hint="eastAsia"/>
          <w:bCs/>
          <w:color w:val="auto"/>
          <w:sz w:val="24"/>
          <w:szCs w:val="21"/>
        </w:rPr>
        <w:t>后</w:t>
      </w:r>
      <w:r>
        <w:rPr>
          <w:bCs/>
          <w:color w:val="auto"/>
          <w:sz w:val="24"/>
          <w:szCs w:val="21"/>
        </w:rPr>
        <w:t>，</w:t>
      </w:r>
      <w:r>
        <w:rPr>
          <w:rFonts w:hint="eastAsia"/>
          <w:bCs/>
          <w:color w:val="auto"/>
          <w:sz w:val="24"/>
          <w:szCs w:val="21"/>
        </w:rPr>
        <w:t>研究者</w:t>
      </w:r>
      <w:r>
        <w:rPr>
          <w:bCs/>
          <w:color w:val="auto"/>
          <w:sz w:val="24"/>
          <w:szCs w:val="21"/>
        </w:rPr>
        <w:t>应</w:t>
      </w:r>
      <w:r>
        <w:rPr>
          <w:rFonts w:hint="eastAsia"/>
          <w:bCs/>
          <w:color w:val="auto"/>
          <w:sz w:val="24"/>
          <w:szCs w:val="21"/>
        </w:rPr>
        <w:t>在1个月内</w:t>
      </w:r>
      <w:r>
        <w:rPr>
          <w:bCs/>
          <w:color w:val="auto"/>
          <w:sz w:val="24"/>
          <w:szCs w:val="21"/>
        </w:rPr>
        <w:t>向伦理委员会提交结题报告</w:t>
      </w:r>
      <w:r>
        <w:rPr>
          <w:rFonts w:hint="eastAsia"/>
          <w:bCs/>
          <w:color w:val="auto"/>
          <w:sz w:val="24"/>
          <w:szCs w:val="21"/>
        </w:rPr>
        <w:t>，以证明研究的完成</w:t>
      </w:r>
      <w:r>
        <w:rPr>
          <w:bCs/>
          <w:color w:val="auto"/>
          <w:sz w:val="24"/>
          <w:szCs w:val="21"/>
        </w:rPr>
        <w:t>。</w:t>
      </w:r>
    </w:p>
    <w:p w14:paraId="26056D48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3.复审</w:t>
      </w:r>
    </w:p>
    <w:p w14:paraId="3100418E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按伦理审查意见</w:t>
      </w:r>
      <w:r>
        <w:rPr>
          <w:rFonts w:hint="eastAsia"/>
          <w:bCs/>
          <w:color w:val="auto"/>
          <w:sz w:val="24"/>
          <w:szCs w:val="21"/>
        </w:rPr>
        <w:t>“</w:t>
      </w:r>
      <w:r>
        <w:rPr>
          <w:bCs/>
          <w:color w:val="auto"/>
          <w:sz w:val="24"/>
          <w:szCs w:val="21"/>
        </w:rPr>
        <w:t>作必要的修</w:t>
      </w:r>
      <w:r>
        <w:rPr>
          <w:rFonts w:hint="eastAsia"/>
          <w:bCs/>
          <w:color w:val="auto"/>
          <w:sz w:val="24"/>
          <w:szCs w:val="21"/>
        </w:rPr>
        <w:t>改</w:t>
      </w:r>
      <w:r>
        <w:rPr>
          <w:bCs/>
          <w:color w:val="auto"/>
          <w:sz w:val="24"/>
          <w:szCs w:val="21"/>
        </w:rPr>
        <w:t>后同意</w:t>
      </w:r>
      <w:r>
        <w:rPr>
          <w:rFonts w:hint="eastAsia"/>
          <w:bCs/>
          <w:color w:val="auto"/>
          <w:sz w:val="24"/>
          <w:szCs w:val="21"/>
        </w:rPr>
        <w:t>”，</w:t>
      </w:r>
      <w:r>
        <w:rPr>
          <w:bCs/>
          <w:color w:val="auto"/>
          <w:sz w:val="24"/>
          <w:szCs w:val="21"/>
        </w:rPr>
        <w:t>对方案进行修改后，</w:t>
      </w:r>
      <w:r>
        <w:rPr>
          <w:rFonts w:hint="eastAsia"/>
          <w:bCs/>
          <w:color w:val="auto"/>
          <w:sz w:val="24"/>
          <w:szCs w:val="21"/>
        </w:rPr>
        <w:t>应当提交复审</w:t>
      </w:r>
      <w:r>
        <w:rPr>
          <w:bCs/>
          <w:color w:val="auto"/>
          <w:sz w:val="24"/>
          <w:szCs w:val="21"/>
        </w:rPr>
        <w:t>，经伦理委员会</w:t>
      </w:r>
      <w:r>
        <w:rPr>
          <w:rFonts w:hint="eastAsia"/>
          <w:bCs/>
          <w:color w:val="auto"/>
          <w:sz w:val="24"/>
          <w:szCs w:val="21"/>
        </w:rPr>
        <w:t>同意</w:t>
      </w:r>
      <w:r>
        <w:rPr>
          <w:bCs/>
          <w:color w:val="auto"/>
          <w:sz w:val="24"/>
          <w:szCs w:val="21"/>
        </w:rPr>
        <w:t>后方可实施。</w:t>
      </w:r>
      <w:r>
        <w:rPr>
          <w:rFonts w:hint="eastAsia"/>
          <w:bCs/>
          <w:color w:val="auto"/>
          <w:sz w:val="24"/>
          <w:szCs w:val="21"/>
        </w:rPr>
        <w:t>如果对伦理审查意见有不同看法，可以通过复审的方式再次提起审查。</w:t>
      </w:r>
    </w:p>
    <w:p w14:paraId="55D29350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二、提交伦理审查的流程</w:t>
      </w:r>
    </w:p>
    <w:p w14:paraId="2EDC8BED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1.提交送审</w:t>
      </w:r>
      <w:r>
        <w:rPr>
          <w:rFonts w:hint="eastAsia"/>
          <w:bCs/>
          <w:color w:val="auto"/>
          <w:sz w:val="24"/>
          <w:szCs w:val="21"/>
        </w:rPr>
        <w:t>材料</w:t>
      </w:r>
    </w:p>
    <w:p w14:paraId="7D436DAE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（1）准备送审文件：根据</w:t>
      </w:r>
      <w:r>
        <w:rPr>
          <w:rFonts w:hint="eastAsia"/>
          <w:bCs/>
          <w:color w:val="auto"/>
          <w:sz w:val="24"/>
          <w:szCs w:val="21"/>
        </w:rPr>
        <w:t>送审类别和</w:t>
      </w:r>
      <w:r>
        <w:rPr>
          <w:bCs/>
          <w:color w:val="auto"/>
          <w:sz w:val="24"/>
          <w:szCs w:val="21"/>
        </w:rPr>
        <w:t>送审</w:t>
      </w:r>
      <w:r>
        <w:rPr>
          <w:rFonts w:hint="eastAsia"/>
          <w:bCs/>
          <w:color w:val="auto"/>
          <w:sz w:val="24"/>
          <w:szCs w:val="21"/>
        </w:rPr>
        <w:t>材料</w:t>
      </w:r>
      <w:r>
        <w:rPr>
          <w:bCs/>
          <w:color w:val="auto"/>
          <w:sz w:val="24"/>
          <w:szCs w:val="21"/>
        </w:rPr>
        <w:t>清单，准备送审</w:t>
      </w:r>
      <w:r>
        <w:rPr>
          <w:rFonts w:hint="eastAsia"/>
          <w:bCs/>
          <w:color w:val="auto"/>
          <w:sz w:val="24"/>
          <w:szCs w:val="21"/>
        </w:rPr>
        <w:t>材料。药物/医疗器械临床试验的申办者负责准备送审材料。送审材料应当提交PDF格式的电子版和纸质文件。研究方案、知情同意书、招募广告、提供给受试者的其他书面资料、病例报告表、研究者手册等送审文件应当注明版本号和版本日期。送审材料的语言是中文的。</w:t>
      </w:r>
    </w:p>
    <w:p w14:paraId="35E5BF4B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（2）填写申请／报告的表格：根据伦理审查申请／报告的类别，填写相应的“申请”</w:t>
      </w:r>
      <w:r>
        <w:rPr>
          <w:rFonts w:ascii="宋体" w:hAnsi="宋体"/>
          <w:bCs/>
          <w:color w:val="auto"/>
          <w:sz w:val="24"/>
          <w:szCs w:val="21"/>
        </w:rPr>
        <w:t>(</w:t>
      </w:r>
      <w:r>
        <w:rPr>
          <w:bCs/>
          <w:color w:val="auto"/>
          <w:sz w:val="24"/>
          <w:szCs w:val="21"/>
        </w:rPr>
        <w:t>初始审查申请，修正案审查申请</w:t>
      </w:r>
      <w:r>
        <w:rPr>
          <w:rFonts w:hint="eastAsia"/>
          <w:bCs/>
          <w:color w:val="auto"/>
          <w:sz w:val="24"/>
          <w:szCs w:val="21"/>
        </w:rPr>
        <w:t>，复审审查申请）</w:t>
      </w:r>
      <w:r>
        <w:rPr>
          <w:bCs/>
          <w:color w:val="auto"/>
          <w:sz w:val="24"/>
          <w:szCs w:val="21"/>
        </w:rPr>
        <w:t>，或“报告”</w:t>
      </w:r>
      <w:r>
        <w:rPr>
          <w:rFonts w:ascii="宋体" w:hAnsi="宋体"/>
          <w:bCs/>
          <w:color w:val="auto"/>
          <w:sz w:val="24"/>
          <w:szCs w:val="21"/>
        </w:rPr>
        <w:t>(</w:t>
      </w:r>
      <w:r>
        <w:rPr>
          <w:rFonts w:hint="eastAsia"/>
          <w:bCs/>
          <w:color w:val="auto"/>
          <w:sz w:val="24"/>
          <w:szCs w:val="21"/>
        </w:rPr>
        <w:t>研究进展</w:t>
      </w:r>
      <w:r>
        <w:rPr>
          <w:bCs/>
          <w:color w:val="auto"/>
          <w:sz w:val="24"/>
          <w:szCs w:val="21"/>
        </w:rPr>
        <w:t>报告，</w:t>
      </w:r>
      <w:r>
        <w:rPr>
          <w:rFonts w:hint="eastAsia"/>
          <w:bCs/>
          <w:color w:val="auto"/>
          <w:sz w:val="24"/>
          <w:szCs w:val="21"/>
        </w:rPr>
        <w:t>安全信息</w:t>
      </w:r>
      <w:r>
        <w:rPr>
          <w:bCs/>
          <w:color w:val="auto"/>
          <w:sz w:val="24"/>
          <w:szCs w:val="21"/>
        </w:rPr>
        <w:t>报告，方案</w:t>
      </w:r>
      <w:r>
        <w:rPr>
          <w:rFonts w:hint="eastAsia"/>
          <w:bCs/>
          <w:color w:val="auto"/>
          <w:sz w:val="24"/>
          <w:szCs w:val="21"/>
        </w:rPr>
        <w:t>偏离</w:t>
      </w:r>
      <w:r>
        <w:rPr>
          <w:bCs/>
          <w:color w:val="auto"/>
          <w:sz w:val="24"/>
          <w:szCs w:val="21"/>
        </w:rPr>
        <w:t>报告，暂停／终止研究报告，结题报告</w:t>
      </w:r>
      <w:r>
        <w:rPr>
          <w:rFonts w:ascii="宋体" w:hAnsi="宋体"/>
          <w:bCs/>
          <w:color w:val="auto"/>
          <w:sz w:val="24"/>
          <w:szCs w:val="21"/>
        </w:rPr>
        <w:t>)</w:t>
      </w:r>
      <w:r>
        <w:rPr>
          <w:bCs/>
          <w:color w:val="auto"/>
          <w:sz w:val="24"/>
          <w:szCs w:val="21"/>
        </w:rPr>
        <w:t>。</w:t>
      </w:r>
    </w:p>
    <w:p w14:paraId="73A6FCE3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（3）提交：</w:t>
      </w:r>
      <w:r>
        <w:rPr>
          <w:rFonts w:hint="eastAsia"/>
          <w:bCs/>
          <w:color w:val="auto"/>
          <w:sz w:val="24"/>
          <w:szCs w:val="21"/>
        </w:rPr>
        <w:t>研究项目的提交人为研究者。研究者应当在送审文件上签字并注明日期。研究者</w:t>
      </w:r>
      <w:r>
        <w:rPr>
          <w:rFonts w:hint="eastAsia"/>
          <w:color w:val="auto"/>
          <w:sz w:val="24"/>
        </w:rPr>
        <w:t>应当提交PDF格式的电子版送审材料给秘书，电子版审核无误后递交纸质版</w:t>
      </w:r>
      <w:r>
        <w:rPr>
          <w:bCs/>
          <w:color w:val="auto"/>
          <w:sz w:val="24"/>
          <w:szCs w:val="21"/>
        </w:rPr>
        <w:t>，送至伦理委员会办公室</w:t>
      </w:r>
      <w:r>
        <w:rPr>
          <w:rFonts w:hint="eastAsia"/>
          <w:bCs/>
          <w:color w:val="auto"/>
          <w:sz w:val="24"/>
          <w:szCs w:val="21"/>
        </w:rPr>
        <w:t>。</w:t>
      </w:r>
    </w:p>
    <w:p w14:paraId="1D056D14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2.领取通知</w:t>
      </w:r>
    </w:p>
    <w:p w14:paraId="1CBF85D9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补充／修改送审材料通知：伦理委员会办公室受理后，如果认为送审文件不完整，文件要素有缺陷，发送补充／修改送审材料通知，告知缺项文件，以及最近审查会议前的送审截止日期。</w:t>
      </w:r>
    </w:p>
    <w:p w14:paraId="199FD95A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受理通知：送审文件的完整性和要素通过形式审查，办公室秘书发送研究受理通知，并提前7天告知预定审查日期。</w:t>
      </w:r>
    </w:p>
    <w:p w14:paraId="424C017C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3.接受审查的准备</w:t>
      </w:r>
    </w:p>
    <w:p w14:paraId="55213B56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（1）会议时间，地点：办公室秘书电话</w:t>
      </w:r>
      <w:r>
        <w:rPr>
          <w:rFonts w:hint="eastAsia"/>
          <w:bCs/>
          <w:color w:val="auto"/>
          <w:sz w:val="24"/>
          <w:szCs w:val="21"/>
        </w:rPr>
        <w:t>或者短信</w:t>
      </w:r>
      <w:r>
        <w:rPr>
          <w:bCs/>
          <w:color w:val="auto"/>
          <w:sz w:val="24"/>
          <w:szCs w:val="21"/>
        </w:rPr>
        <w:t>通知。</w:t>
      </w:r>
    </w:p>
    <w:p w14:paraId="14401896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（2）准备向会议</w:t>
      </w:r>
      <w:r>
        <w:rPr>
          <w:rFonts w:hint="eastAsia"/>
          <w:bCs/>
          <w:color w:val="auto"/>
          <w:sz w:val="24"/>
          <w:szCs w:val="21"/>
        </w:rPr>
        <w:t>的</w:t>
      </w:r>
      <w:r>
        <w:rPr>
          <w:bCs/>
          <w:color w:val="auto"/>
          <w:sz w:val="24"/>
          <w:szCs w:val="21"/>
        </w:rPr>
        <w:t>报告</w:t>
      </w:r>
      <w:r>
        <w:rPr>
          <w:rFonts w:hint="eastAsia"/>
          <w:bCs/>
          <w:color w:val="auto"/>
          <w:sz w:val="24"/>
          <w:szCs w:val="21"/>
        </w:rPr>
        <w:t>和答疑</w:t>
      </w:r>
      <w:r>
        <w:rPr>
          <w:bCs/>
          <w:color w:val="auto"/>
          <w:sz w:val="24"/>
          <w:szCs w:val="21"/>
        </w:rPr>
        <w:t>：按照通知，</w:t>
      </w:r>
      <w:r>
        <w:rPr>
          <w:rFonts w:hint="eastAsia"/>
          <w:bCs/>
          <w:color w:val="auto"/>
          <w:sz w:val="24"/>
          <w:szCs w:val="21"/>
        </w:rPr>
        <w:t>研究者准备报告的PPT，应要求到会报告和答疑。研究者因故不能到会，应事先向伦理委员会请假，并授权研究人员到会报告和答疑</w:t>
      </w:r>
      <w:r>
        <w:rPr>
          <w:bCs/>
          <w:color w:val="auto"/>
          <w:sz w:val="24"/>
          <w:szCs w:val="21"/>
        </w:rPr>
        <w:t>。</w:t>
      </w:r>
    </w:p>
    <w:p w14:paraId="510F548C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三、伦理审查的时间</w:t>
      </w:r>
    </w:p>
    <w:p w14:paraId="113BF03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伦理委员会</w:t>
      </w:r>
      <w:r>
        <w:rPr>
          <w:rFonts w:hint="eastAsia"/>
          <w:bCs/>
          <w:color w:val="auto"/>
          <w:sz w:val="24"/>
          <w:szCs w:val="21"/>
        </w:rPr>
        <w:t>根据项目受理情况不定期召开伦理审查会议，一般为每2</w:t>
      </w:r>
      <w:r>
        <w:rPr>
          <w:bCs/>
          <w:color w:val="auto"/>
          <w:sz w:val="24"/>
          <w:szCs w:val="21"/>
        </w:rPr>
        <w:t>个月1次，需要时可以增加审查会议次数。伦理委员会办公室受理送审文件后，需要1周的时间进行处理，请在会议审查1周前提交送审文件。</w:t>
      </w:r>
    </w:p>
    <w:p w14:paraId="4833C2ED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研究过程中出现重大或严重问题，危及受试者安全时，或发生其它需要伦理委员会召开会议进行紧急审查和决定的情况，伦理委员会将召开紧急会议进行审查。</w:t>
      </w:r>
    </w:p>
    <w:p w14:paraId="669B9A09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四、审查决定的传达</w:t>
      </w:r>
    </w:p>
    <w:p w14:paraId="79CA8A3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伦理委员会在做出伦理审查决定后5个工作日内，以“伦理审查意见”的书面方式传达审查决定。</w:t>
      </w:r>
    </w:p>
    <w:p w14:paraId="5409AA23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如果审查意见为肯定性决定（同意研究继续进行，或者同意研究完成），并且审查类别属于安全性审查及其复审，偏离方案审查及其复审，研究完成审查，伦理意见在有效期内的定期跟踪审查，或者伦理委员会同意研究者/申办者提出的终止或暂停已同意的研究，可以不传达伦理审查意见的书面文件。</w:t>
      </w:r>
    </w:p>
    <w:p w14:paraId="31D9730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研究者如果需要可以不传达的伦理审查意见的书面文件，可以要求伦理委员会办公室提供。</w:t>
      </w:r>
    </w:p>
    <w:p w14:paraId="42CF0053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如果对伦理审查决定有不同意见，可以向伦理委员会提交复审，还可以要求与伦理委员会委员进行直接的沟通交流。</w:t>
      </w:r>
    </w:p>
    <w:p w14:paraId="18AFB2CC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五、伦理审查的费用</w:t>
      </w:r>
    </w:p>
    <w:p w14:paraId="660E69A2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临床试验的合同应当包括伦理审查的费用，伦理审查费用应当在审查之前单独支付。</w:t>
      </w:r>
    </w:p>
    <w:p w14:paraId="14C19C60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伦理委员会会议审查费用：</w:t>
      </w:r>
      <w:r>
        <w:rPr>
          <w:rFonts w:hint="eastAsia"/>
          <w:bCs/>
          <w:color w:val="auto"/>
          <w:sz w:val="24"/>
          <w:szCs w:val="21"/>
        </w:rPr>
        <w:t>4</w:t>
      </w:r>
      <w:r>
        <w:rPr>
          <w:bCs/>
          <w:color w:val="auto"/>
          <w:sz w:val="24"/>
          <w:szCs w:val="21"/>
        </w:rPr>
        <w:t>000.00元</w:t>
      </w:r>
      <w:r>
        <w:rPr>
          <w:rFonts w:hint="eastAsia"/>
          <w:bCs/>
          <w:color w:val="auto"/>
          <w:sz w:val="24"/>
          <w:szCs w:val="21"/>
        </w:rPr>
        <w:t>人民币；</w:t>
      </w:r>
      <w:r>
        <w:rPr>
          <w:bCs/>
          <w:color w:val="auto"/>
          <w:sz w:val="24"/>
          <w:szCs w:val="21"/>
        </w:rPr>
        <w:t>快审费用：</w:t>
      </w:r>
      <w:r>
        <w:rPr>
          <w:rFonts w:hint="eastAsia"/>
          <w:bCs/>
          <w:color w:val="auto"/>
          <w:sz w:val="24"/>
          <w:szCs w:val="21"/>
        </w:rPr>
        <w:t>2</w:t>
      </w:r>
      <w:r>
        <w:rPr>
          <w:bCs/>
          <w:color w:val="auto"/>
          <w:sz w:val="24"/>
          <w:szCs w:val="21"/>
        </w:rPr>
        <w:t>000.00元</w:t>
      </w:r>
      <w:r>
        <w:rPr>
          <w:rFonts w:hint="eastAsia"/>
          <w:bCs/>
          <w:color w:val="auto"/>
          <w:sz w:val="24"/>
          <w:szCs w:val="21"/>
        </w:rPr>
        <w:t>人民币</w:t>
      </w:r>
      <w:r>
        <w:rPr>
          <w:bCs/>
          <w:color w:val="auto"/>
          <w:sz w:val="24"/>
          <w:szCs w:val="21"/>
        </w:rPr>
        <w:t>。</w:t>
      </w:r>
    </w:p>
    <w:p w14:paraId="4B2FA57F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六、联系方式</w:t>
      </w:r>
    </w:p>
    <w:p w14:paraId="332A589C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临床试验</w:t>
      </w:r>
      <w:r>
        <w:rPr>
          <w:bCs/>
          <w:color w:val="auto"/>
          <w:sz w:val="24"/>
          <w:szCs w:val="21"/>
        </w:rPr>
        <w:t>伦理办公室电话：0833</w:t>
      </w:r>
      <w:r>
        <w:rPr>
          <w:rFonts w:hint="eastAsia"/>
          <w:bCs/>
          <w:color w:val="auto"/>
          <w:sz w:val="24"/>
          <w:szCs w:val="21"/>
        </w:rPr>
        <w:t>-2405887</w:t>
      </w:r>
    </w:p>
    <w:p w14:paraId="59C729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eastAsia="宋体"/>
          <w:bCs/>
          <w:color w:val="auto"/>
          <w:sz w:val="24"/>
          <w:szCs w:val="21"/>
          <w:lang w:eastAsia="zh-CN"/>
        </w:rPr>
      </w:pPr>
      <w:r>
        <w:rPr>
          <w:bCs/>
          <w:color w:val="auto"/>
          <w:sz w:val="24"/>
          <w:szCs w:val="21"/>
        </w:rPr>
        <w:t>联系人：</w:t>
      </w:r>
      <w:r>
        <w:rPr>
          <w:rFonts w:hint="eastAsia"/>
          <w:bCs/>
          <w:color w:val="auto"/>
          <w:sz w:val="24"/>
          <w:szCs w:val="21"/>
          <w:lang w:val="en-US" w:eastAsia="zh-CN"/>
        </w:rPr>
        <w:t>杨梦培</w:t>
      </w:r>
    </w:p>
    <w:p w14:paraId="51EDBEE3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bCs/>
          <w:color w:val="auto"/>
          <w:sz w:val="24"/>
          <w:szCs w:val="21"/>
        </w:rPr>
        <w:t>Email：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"mailto:llsrmyy_EC@163.com" </w:instrText>
      </w:r>
      <w:r>
        <w:rPr>
          <w:color w:val="auto"/>
        </w:rPr>
        <w:fldChar w:fldCharType="separate"/>
      </w:r>
      <w:r>
        <w:rPr>
          <w:rStyle w:val="13"/>
          <w:rFonts w:hint="eastAsia"/>
          <w:bCs/>
          <w:color w:val="auto"/>
          <w:sz w:val="24"/>
          <w:szCs w:val="21"/>
        </w:rPr>
        <w:t>l</w:t>
      </w:r>
      <w:r>
        <w:rPr>
          <w:rStyle w:val="13"/>
          <w:rFonts w:hint="eastAsia"/>
          <w:bCs/>
          <w:color w:val="auto"/>
          <w:sz w:val="24"/>
          <w:szCs w:val="21"/>
          <w:lang w:val="en-US" w:eastAsia="zh-CN"/>
        </w:rPr>
        <w:t>s</w:t>
      </w:r>
      <w:r>
        <w:rPr>
          <w:rStyle w:val="13"/>
          <w:rFonts w:hint="eastAsia"/>
          <w:bCs/>
          <w:color w:val="auto"/>
          <w:sz w:val="24"/>
          <w:szCs w:val="21"/>
        </w:rPr>
        <w:t>srmyy_EC@163.com</w:t>
      </w:r>
      <w:r>
        <w:rPr>
          <w:rStyle w:val="13"/>
          <w:rFonts w:hint="eastAsia"/>
          <w:bCs/>
          <w:color w:val="auto"/>
          <w:sz w:val="24"/>
          <w:szCs w:val="21"/>
        </w:rPr>
        <w:fldChar w:fldCharType="end"/>
      </w:r>
    </w:p>
    <w:p w14:paraId="10A3EF7D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  <w:szCs w:val="21"/>
        </w:rPr>
      </w:pPr>
      <w:r>
        <w:rPr>
          <w:rFonts w:hint="eastAsia"/>
          <w:bCs/>
          <w:color w:val="auto"/>
          <w:sz w:val="24"/>
          <w:szCs w:val="21"/>
        </w:rPr>
        <w:t>七、附件</w:t>
      </w:r>
    </w:p>
    <w:p w14:paraId="6D9F8501">
      <w:pPr>
        <w:adjustRightInd w:val="0"/>
        <w:snapToGrid w:val="0"/>
        <w:spacing w:line="360" w:lineRule="auto"/>
        <w:ind w:firstLine="480" w:firstLineChars="200"/>
        <w:jc w:val="left"/>
        <w:rPr>
          <w:bCs/>
          <w:color w:val="auto"/>
          <w:sz w:val="24"/>
        </w:rPr>
        <w:sectPr>
          <w:headerReference r:id="rId3" w:type="first"/>
          <w:footerReference r:id="rId5" w:type="first"/>
          <w:footerReference r:id="rId4" w:type="default"/>
          <w:pgSz w:w="11906" w:h="16838"/>
          <w:pgMar w:top="1134" w:right="1134" w:bottom="1134" w:left="1701" w:header="454" w:footer="567" w:gutter="0"/>
          <w:pgNumType w:start="1"/>
          <w:cols w:space="425" w:num="1"/>
          <w:titlePg/>
          <w:docGrid w:type="lines" w:linePitch="312" w:charSpace="0"/>
        </w:sectPr>
      </w:pPr>
      <w:r>
        <w:rPr>
          <w:rFonts w:hint="eastAsia"/>
          <w:bCs/>
          <w:color w:val="auto"/>
          <w:sz w:val="24"/>
        </w:rPr>
        <w:t>PHLS-LW-FJ-029-01临床试验委员会送审材料清单</w:t>
      </w:r>
    </w:p>
    <w:p w14:paraId="04036C67">
      <w:pPr>
        <w:spacing w:after="156" w:afterLines="50"/>
        <w:jc w:val="center"/>
        <w:rPr>
          <w:rFonts w:eastAsia="方正小标宋简体"/>
          <w:bCs/>
          <w:sz w:val="36"/>
          <w:szCs w:val="36"/>
        </w:rPr>
      </w:pPr>
      <w:r>
        <w:rPr>
          <w:rFonts w:eastAsia="方正小标宋简体"/>
          <w:bCs/>
          <w:sz w:val="36"/>
          <w:szCs w:val="36"/>
        </w:rPr>
        <w:t>临床试验</w:t>
      </w:r>
      <w:r>
        <w:rPr>
          <w:rFonts w:hint="eastAsia" w:eastAsia="方正小标宋简体"/>
          <w:bCs/>
          <w:sz w:val="36"/>
          <w:szCs w:val="36"/>
        </w:rPr>
        <w:t>委员会送审材料</w:t>
      </w:r>
      <w:r>
        <w:rPr>
          <w:rFonts w:eastAsia="方正小标宋简体"/>
          <w:bCs/>
          <w:sz w:val="36"/>
          <w:szCs w:val="36"/>
        </w:rPr>
        <w:t>清单</w:t>
      </w:r>
    </w:p>
    <w:tbl>
      <w:tblPr>
        <w:tblStyle w:val="10"/>
        <w:tblW w:w="56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63"/>
        <w:gridCol w:w="4742"/>
        <w:gridCol w:w="462"/>
        <w:gridCol w:w="4683"/>
      </w:tblGrid>
      <w:tr w14:paraId="3EDD6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552" w:type="pct"/>
            <w:gridSpan w:val="3"/>
            <w:vAlign w:val="center"/>
          </w:tcPr>
          <w:p w14:paraId="7F24816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一、初始审查[1]</w:t>
            </w:r>
          </w:p>
        </w:tc>
        <w:tc>
          <w:tcPr>
            <w:tcW w:w="2448" w:type="pct"/>
            <w:gridSpan w:val="2"/>
            <w:vAlign w:val="center"/>
          </w:tcPr>
          <w:p w14:paraId="20369A6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二、跟踪审查</w:t>
            </w:r>
          </w:p>
        </w:tc>
      </w:tr>
      <w:tr w14:paraId="133FF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  <w:jc w:val="center"/>
        </w:trPr>
        <w:tc>
          <w:tcPr>
            <w:tcW w:w="266" w:type="pct"/>
          </w:tcPr>
          <w:p w14:paraId="6672104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86" w:type="pct"/>
            <w:gridSpan w:val="2"/>
          </w:tcPr>
          <w:p w14:paraId="25E4430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初次审查申请表（</w:t>
            </w:r>
            <w:r>
              <w:rPr>
                <w:color w:val="FF0000"/>
                <w:szCs w:val="21"/>
              </w:rPr>
              <w:t>签名并注明日期</w:t>
            </w:r>
            <w:r>
              <w:rPr>
                <w:szCs w:val="21"/>
              </w:rPr>
              <w:t>）</w:t>
            </w:r>
          </w:p>
        </w:tc>
        <w:tc>
          <w:tcPr>
            <w:tcW w:w="2448" w:type="pct"/>
            <w:gridSpan w:val="2"/>
            <w:vAlign w:val="center"/>
          </w:tcPr>
          <w:p w14:paraId="3A95E0A8">
            <w:pPr>
              <w:spacing w:line="360" w:lineRule="auto"/>
              <w:rPr>
                <w:b/>
                <w:szCs w:val="21"/>
              </w:rPr>
            </w:pPr>
            <w:r>
              <w:rPr>
                <w:b/>
                <w:szCs w:val="21"/>
              </w:rPr>
              <w:t>（一）修正案审查</w:t>
            </w:r>
          </w:p>
        </w:tc>
      </w:tr>
      <w:tr w14:paraId="31E73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569A502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86" w:type="pct"/>
            <w:gridSpan w:val="2"/>
          </w:tcPr>
          <w:p w14:paraId="0932618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主要研究者履历（首次递交伦理审查项目）</w:t>
            </w:r>
          </w:p>
        </w:tc>
        <w:tc>
          <w:tcPr>
            <w:tcW w:w="220" w:type="pct"/>
          </w:tcPr>
          <w:p w14:paraId="3B62C04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193B6A3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修正案审查申请表</w:t>
            </w:r>
          </w:p>
        </w:tc>
      </w:tr>
      <w:tr w14:paraId="6D185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3FD092C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286" w:type="pct"/>
            <w:gridSpan w:val="2"/>
          </w:tcPr>
          <w:p w14:paraId="2DF7ADC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主要研究者利益冲突声明</w:t>
            </w:r>
          </w:p>
        </w:tc>
        <w:tc>
          <w:tcPr>
            <w:tcW w:w="220" w:type="pct"/>
          </w:tcPr>
          <w:p w14:paraId="399E996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28" w:type="pct"/>
          </w:tcPr>
          <w:p w14:paraId="22A182F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修正文件的修正说明页</w:t>
            </w:r>
          </w:p>
        </w:tc>
      </w:tr>
      <w:tr w14:paraId="125F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48DCA02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286" w:type="pct"/>
            <w:gridSpan w:val="2"/>
          </w:tcPr>
          <w:p w14:paraId="5FCBA84F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临床试验研究成员名单</w:t>
            </w:r>
          </w:p>
        </w:tc>
        <w:tc>
          <w:tcPr>
            <w:tcW w:w="220" w:type="pct"/>
            <w:vMerge w:val="restart"/>
          </w:tcPr>
          <w:p w14:paraId="4B445C09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228" w:type="pct"/>
            <w:vMerge w:val="restart"/>
          </w:tcPr>
          <w:p w14:paraId="6A8708F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修正后文件（如研究方案、知情同意书、招募材料、提供给受试者的书面资料、或需要伦理审查同意的其他修正文件，修正文件请</w:t>
            </w:r>
            <w:r>
              <w:rPr>
                <w:color w:val="FF0000"/>
                <w:szCs w:val="21"/>
              </w:rPr>
              <w:t>注明版本号/日期，递交有痕版和无痕版</w:t>
            </w:r>
            <w:r>
              <w:rPr>
                <w:szCs w:val="21"/>
              </w:rPr>
              <w:t>）</w:t>
            </w:r>
          </w:p>
        </w:tc>
      </w:tr>
      <w:tr w14:paraId="4B8D7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7D27BC4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286" w:type="pct"/>
            <w:gridSpan w:val="2"/>
          </w:tcPr>
          <w:p w14:paraId="458F318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其他伦理委员会对项目的重要决定的说明</w:t>
            </w:r>
          </w:p>
        </w:tc>
        <w:tc>
          <w:tcPr>
            <w:tcW w:w="220" w:type="pct"/>
            <w:vMerge w:val="continue"/>
          </w:tcPr>
          <w:p w14:paraId="1C69838F">
            <w:pPr>
              <w:spacing w:line="360" w:lineRule="auto"/>
              <w:rPr>
                <w:szCs w:val="21"/>
              </w:rPr>
            </w:pPr>
          </w:p>
        </w:tc>
        <w:tc>
          <w:tcPr>
            <w:tcW w:w="2228" w:type="pct"/>
            <w:vMerge w:val="continue"/>
          </w:tcPr>
          <w:p w14:paraId="48CB0E59">
            <w:pPr>
              <w:spacing w:line="360" w:lineRule="auto"/>
              <w:rPr>
                <w:szCs w:val="21"/>
              </w:rPr>
            </w:pPr>
          </w:p>
        </w:tc>
      </w:tr>
      <w:tr w14:paraId="4F796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6883B729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286" w:type="pct"/>
            <w:gridSpan w:val="2"/>
          </w:tcPr>
          <w:p w14:paraId="408FD6C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研究方案及其修订版（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20" w:type="pct"/>
            <w:vMerge w:val="continue"/>
          </w:tcPr>
          <w:p w14:paraId="106A8714">
            <w:pPr>
              <w:spacing w:line="360" w:lineRule="auto"/>
              <w:rPr>
                <w:szCs w:val="21"/>
              </w:rPr>
            </w:pPr>
          </w:p>
        </w:tc>
        <w:tc>
          <w:tcPr>
            <w:tcW w:w="2228" w:type="pct"/>
            <w:vMerge w:val="continue"/>
          </w:tcPr>
          <w:p w14:paraId="27EC6625">
            <w:pPr>
              <w:spacing w:line="360" w:lineRule="auto"/>
              <w:rPr>
                <w:szCs w:val="21"/>
              </w:rPr>
            </w:pPr>
          </w:p>
        </w:tc>
      </w:tr>
      <w:tr w14:paraId="150D5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4C84CA7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286" w:type="pct"/>
            <w:gridSpan w:val="2"/>
          </w:tcPr>
          <w:p w14:paraId="454B545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知情同意书及其修订版（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20" w:type="pct"/>
            <w:vMerge w:val="continue"/>
          </w:tcPr>
          <w:p w14:paraId="6288710C">
            <w:pPr>
              <w:spacing w:line="360" w:lineRule="auto"/>
              <w:rPr>
                <w:szCs w:val="21"/>
              </w:rPr>
            </w:pPr>
          </w:p>
        </w:tc>
        <w:tc>
          <w:tcPr>
            <w:tcW w:w="2228" w:type="pct"/>
            <w:vMerge w:val="continue"/>
          </w:tcPr>
          <w:p w14:paraId="0A832EB9">
            <w:pPr>
              <w:spacing w:line="360" w:lineRule="auto"/>
              <w:rPr>
                <w:szCs w:val="21"/>
              </w:rPr>
            </w:pPr>
          </w:p>
        </w:tc>
      </w:tr>
      <w:tr w14:paraId="1D11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1D555D9B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286" w:type="pct"/>
            <w:gridSpan w:val="2"/>
          </w:tcPr>
          <w:p w14:paraId="211702A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病例报告表（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448" w:type="pct"/>
            <w:gridSpan w:val="2"/>
            <w:vAlign w:val="center"/>
          </w:tcPr>
          <w:p w14:paraId="65093382">
            <w:pPr>
              <w:spacing w:line="360" w:lineRule="auto"/>
              <w:rPr>
                <w:szCs w:val="21"/>
              </w:rPr>
            </w:pPr>
            <w:r>
              <w:rPr>
                <w:b/>
                <w:szCs w:val="21"/>
              </w:rPr>
              <w:t>（二）年度/定期跟踪审查[2]</w:t>
            </w:r>
          </w:p>
        </w:tc>
      </w:tr>
      <w:tr w14:paraId="5F752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7C2388D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286" w:type="pct"/>
            <w:gridSpan w:val="2"/>
          </w:tcPr>
          <w:p w14:paraId="3BBDB35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研究者手册（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）/药品说明书</w:t>
            </w:r>
          </w:p>
        </w:tc>
        <w:tc>
          <w:tcPr>
            <w:tcW w:w="220" w:type="pct"/>
          </w:tcPr>
          <w:p w14:paraId="58DCA86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0A213B6F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研究进展报告</w:t>
            </w:r>
          </w:p>
        </w:tc>
      </w:tr>
      <w:tr w14:paraId="62A11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01076DE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286" w:type="pct"/>
            <w:gridSpan w:val="2"/>
          </w:tcPr>
          <w:p w14:paraId="4003215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受试者的招募广告（</w:t>
            </w:r>
            <w:r>
              <w:rPr>
                <w:color w:val="FF0000"/>
                <w:szCs w:val="21"/>
              </w:rPr>
              <w:t>注明版本号/日期</w:t>
            </w:r>
            <w:r>
              <w:rPr>
                <w:szCs w:val="21"/>
              </w:rPr>
              <w:t>）</w:t>
            </w:r>
          </w:p>
        </w:tc>
        <w:tc>
          <w:tcPr>
            <w:tcW w:w="2448" w:type="pct"/>
            <w:gridSpan w:val="2"/>
            <w:vAlign w:val="center"/>
          </w:tcPr>
          <w:p w14:paraId="4A5346F9">
            <w:pPr>
              <w:spacing w:line="360" w:lineRule="auto"/>
              <w:rPr>
                <w:szCs w:val="21"/>
              </w:rPr>
            </w:pPr>
            <w:r>
              <w:rPr>
                <w:b/>
                <w:szCs w:val="21"/>
              </w:rPr>
              <w:t>（三）安全性审查</w:t>
            </w:r>
          </w:p>
        </w:tc>
      </w:tr>
      <w:tr w14:paraId="37E6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70D03953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2286" w:type="pct"/>
            <w:gridSpan w:val="2"/>
          </w:tcPr>
          <w:p w14:paraId="072730B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受试者保险</w:t>
            </w:r>
          </w:p>
        </w:tc>
        <w:tc>
          <w:tcPr>
            <w:tcW w:w="220" w:type="pct"/>
          </w:tcPr>
          <w:p w14:paraId="22197CC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5E6D9D4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可疑且非预期严重不良反应报告文件</w:t>
            </w:r>
          </w:p>
        </w:tc>
      </w:tr>
      <w:tr w14:paraId="54AE8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66" w:type="pct"/>
          </w:tcPr>
          <w:p w14:paraId="01E5321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2286" w:type="pct"/>
            <w:gridSpan w:val="2"/>
          </w:tcPr>
          <w:p w14:paraId="74E44B01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其他相关文件(如：人类遗传办备案文件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基于产品技术要求的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产品检验报告、临床前研究相关资料、试验器械的研制符合适用医疗器械质量管理体系相关要求的声明等</w:t>
            </w:r>
            <w:r>
              <w:rPr>
                <w:szCs w:val="21"/>
              </w:rPr>
              <w:t>)</w:t>
            </w:r>
          </w:p>
        </w:tc>
        <w:tc>
          <w:tcPr>
            <w:tcW w:w="220" w:type="pct"/>
          </w:tcPr>
          <w:p w14:paraId="39AAFB5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28" w:type="pct"/>
          </w:tcPr>
          <w:p w14:paraId="25502932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其他潜在的严重安全性风险信息报告文件</w:t>
            </w:r>
          </w:p>
        </w:tc>
      </w:tr>
      <w:tr w14:paraId="24B7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552" w:type="pct"/>
            <w:gridSpan w:val="3"/>
            <w:vAlign w:val="center"/>
          </w:tcPr>
          <w:p w14:paraId="17F4912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三、复审</w:t>
            </w:r>
          </w:p>
        </w:tc>
        <w:tc>
          <w:tcPr>
            <w:tcW w:w="220" w:type="pct"/>
          </w:tcPr>
          <w:p w14:paraId="08D08FD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228" w:type="pct"/>
          </w:tcPr>
          <w:p w14:paraId="1DA720BA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年度安全性报告文件</w:t>
            </w:r>
          </w:p>
        </w:tc>
      </w:tr>
      <w:tr w14:paraId="4038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</w:tcPr>
          <w:p w14:paraId="57447CE8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56" w:type="pct"/>
          </w:tcPr>
          <w:p w14:paraId="4A87F437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复审申请表</w:t>
            </w:r>
          </w:p>
        </w:tc>
        <w:tc>
          <w:tcPr>
            <w:tcW w:w="2448" w:type="pct"/>
            <w:gridSpan w:val="2"/>
          </w:tcPr>
          <w:p w14:paraId="76EB640D">
            <w:pPr>
              <w:spacing w:line="360" w:lineRule="auto"/>
              <w:rPr>
                <w:szCs w:val="21"/>
              </w:rPr>
            </w:pPr>
            <w:r>
              <w:rPr>
                <w:b/>
                <w:szCs w:val="21"/>
              </w:rPr>
              <w:t>（四）方案偏离审查</w:t>
            </w:r>
          </w:p>
        </w:tc>
      </w:tr>
      <w:tr w14:paraId="101D8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  <w:vMerge w:val="restart"/>
          </w:tcPr>
          <w:p w14:paraId="7EA8CD0C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256" w:type="pct"/>
            <w:vMerge w:val="restart"/>
          </w:tcPr>
          <w:p w14:paraId="7CB46B36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根据伦理意见进行修正的文件或作出的相应说明（如：研究方案、知情同意书、招募材料、提供给受试者的书面资料、或需要伦理审查同意的其他修正文件，修正文件请</w:t>
            </w:r>
            <w:r>
              <w:rPr>
                <w:color w:val="FF0000"/>
                <w:szCs w:val="21"/>
              </w:rPr>
              <w:t>注明版本号/日期，递交有痕版和无痕版</w:t>
            </w:r>
            <w:r>
              <w:rPr>
                <w:szCs w:val="21"/>
              </w:rPr>
              <w:t>）</w:t>
            </w:r>
          </w:p>
        </w:tc>
        <w:tc>
          <w:tcPr>
            <w:tcW w:w="220" w:type="pct"/>
          </w:tcPr>
          <w:p w14:paraId="5F9A18B9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358B051A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方案偏离报告</w:t>
            </w:r>
          </w:p>
        </w:tc>
      </w:tr>
      <w:tr w14:paraId="2D63F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  <w:vMerge w:val="continue"/>
          </w:tcPr>
          <w:p w14:paraId="5C919CCE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07029E97">
            <w:pPr>
              <w:spacing w:line="360" w:lineRule="auto"/>
              <w:rPr>
                <w:szCs w:val="21"/>
              </w:rPr>
            </w:pPr>
          </w:p>
        </w:tc>
        <w:tc>
          <w:tcPr>
            <w:tcW w:w="2448" w:type="pct"/>
            <w:gridSpan w:val="2"/>
          </w:tcPr>
          <w:p w14:paraId="4579760D">
            <w:pPr>
              <w:spacing w:line="360" w:lineRule="auto"/>
              <w:rPr>
                <w:szCs w:val="21"/>
              </w:rPr>
            </w:pPr>
            <w:r>
              <w:rPr>
                <w:b/>
                <w:szCs w:val="21"/>
              </w:rPr>
              <w:t>（五）暂停/终止研究审查</w:t>
            </w:r>
          </w:p>
        </w:tc>
      </w:tr>
      <w:tr w14:paraId="08B30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296" w:type="pct"/>
            <w:gridSpan w:val="2"/>
            <w:vMerge w:val="continue"/>
          </w:tcPr>
          <w:p w14:paraId="60BA4E2E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2CDB34AA">
            <w:pPr>
              <w:spacing w:line="360" w:lineRule="auto"/>
              <w:rPr>
                <w:szCs w:val="21"/>
              </w:rPr>
            </w:pPr>
          </w:p>
        </w:tc>
        <w:tc>
          <w:tcPr>
            <w:tcW w:w="220" w:type="pct"/>
          </w:tcPr>
          <w:p w14:paraId="1832063E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155489E8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暂停/终止研究报告</w:t>
            </w:r>
          </w:p>
        </w:tc>
      </w:tr>
      <w:tr w14:paraId="391E9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296" w:type="pct"/>
            <w:gridSpan w:val="2"/>
            <w:vMerge w:val="continue"/>
          </w:tcPr>
          <w:p w14:paraId="6C6680B1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7A5B0672">
            <w:pPr>
              <w:spacing w:line="360" w:lineRule="auto"/>
              <w:rPr>
                <w:szCs w:val="21"/>
              </w:rPr>
            </w:pPr>
          </w:p>
        </w:tc>
        <w:tc>
          <w:tcPr>
            <w:tcW w:w="2448" w:type="pct"/>
            <w:gridSpan w:val="2"/>
          </w:tcPr>
          <w:p w14:paraId="3EC9DFE7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（六）</w:t>
            </w:r>
            <w:r>
              <w:rPr>
                <w:b/>
                <w:szCs w:val="21"/>
              </w:rPr>
              <w:t>研究完成审查</w:t>
            </w:r>
          </w:p>
        </w:tc>
      </w:tr>
      <w:tr w14:paraId="38CD7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296" w:type="pct"/>
            <w:gridSpan w:val="2"/>
            <w:vMerge w:val="continue"/>
          </w:tcPr>
          <w:p w14:paraId="1D305DA3">
            <w:pPr>
              <w:spacing w:line="360" w:lineRule="auto"/>
              <w:rPr>
                <w:b/>
                <w:szCs w:val="21"/>
              </w:rPr>
            </w:pPr>
          </w:p>
        </w:tc>
        <w:tc>
          <w:tcPr>
            <w:tcW w:w="2256" w:type="pct"/>
            <w:vMerge w:val="continue"/>
          </w:tcPr>
          <w:p w14:paraId="096800C9">
            <w:pPr>
              <w:spacing w:line="360" w:lineRule="auto"/>
              <w:rPr>
                <w:szCs w:val="21"/>
              </w:rPr>
            </w:pPr>
          </w:p>
        </w:tc>
        <w:tc>
          <w:tcPr>
            <w:tcW w:w="220" w:type="pct"/>
          </w:tcPr>
          <w:p w14:paraId="2B0FA960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228" w:type="pct"/>
          </w:tcPr>
          <w:p w14:paraId="1B819491">
            <w:pPr>
              <w:spacing w:line="360" w:lineRule="auto"/>
              <w:rPr>
                <w:b/>
                <w:szCs w:val="21"/>
              </w:rPr>
            </w:pPr>
            <w:r>
              <w:rPr>
                <w:szCs w:val="21"/>
              </w:rPr>
              <w:t>结题报告</w:t>
            </w:r>
          </w:p>
        </w:tc>
      </w:tr>
    </w:tbl>
    <w:p w14:paraId="7750A24C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备注：</w:t>
      </w:r>
    </w:p>
    <w:p w14:paraId="56783A12">
      <w:pPr>
        <w:rPr>
          <w:b/>
          <w:bCs/>
          <w:color w:val="auto"/>
          <w:szCs w:val="21"/>
        </w:rPr>
      </w:pPr>
      <w:r>
        <w:rPr>
          <w:rFonts w:hint="eastAsia"/>
          <w:b/>
          <w:bCs/>
          <w:szCs w:val="21"/>
        </w:rPr>
        <w:t>[1]初始审查申请送审材料请将PDF电子版发至伦理邮箱进行形式审查，</w:t>
      </w:r>
      <w:r>
        <w:rPr>
          <w:rFonts w:hint="eastAsia"/>
          <w:b/>
          <w:bCs/>
          <w:color w:val="auto"/>
          <w:szCs w:val="21"/>
        </w:rPr>
        <w:t>审查合格后将</w:t>
      </w:r>
      <w:r>
        <w:rPr>
          <w:rFonts w:hint="eastAsia"/>
          <w:b/>
          <w:bCs/>
          <w:color w:val="auto"/>
          <w:szCs w:val="21"/>
          <w:highlight w:val="red"/>
          <w:lang w:val="en-US" w:eastAsia="zh-CN"/>
        </w:rPr>
        <w:t>2份</w:t>
      </w:r>
      <w:r>
        <w:rPr>
          <w:rFonts w:hint="eastAsia"/>
          <w:b/>
          <w:bCs/>
          <w:color w:val="auto"/>
          <w:szCs w:val="21"/>
          <w:highlight w:val="red"/>
        </w:rPr>
        <w:t>纸质</w:t>
      </w:r>
      <w:r>
        <w:rPr>
          <w:rFonts w:hint="eastAsia"/>
          <w:b/>
          <w:bCs/>
          <w:color w:val="auto"/>
          <w:szCs w:val="21"/>
        </w:rPr>
        <w:t>版</w:t>
      </w:r>
      <w:r>
        <w:rPr>
          <w:rFonts w:hint="eastAsia"/>
          <w:b/>
          <w:bCs/>
          <w:color w:val="auto"/>
          <w:szCs w:val="21"/>
          <w:lang w:eastAsia="zh-CN"/>
        </w:rPr>
        <w:t>（至少</w:t>
      </w:r>
      <w:r>
        <w:rPr>
          <w:rFonts w:hint="eastAsia"/>
          <w:b/>
          <w:bCs/>
          <w:color w:val="auto"/>
          <w:szCs w:val="21"/>
          <w:lang w:val="en-US" w:eastAsia="zh-CN"/>
        </w:rPr>
        <w:t>1份盖章原件</w:t>
      </w:r>
      <w:r>
        <w:rPr>
          <w:rFonts w:hint="eastAsia"/>
          <w:b/>
          <w:bCs/>
          <w:color w:val="auto"/>
          <w:szCs w:val="21"/>
          <w:lang w:eastAsia="zh-CN"/>
        </w:rPr>
        <w:t>）</w:t>
      </w:r>
      <w:r>
        <w:rPr>
          <w:rFonts w:hint="eastAsia"/>
          <w:b/>
          <w:bCs/>
          <w:color w:val="auto"/>
          <w:szCs w:val="21"/>
        </w:rPr>
        <w:t>送审材料</w:t>
      </w:r>
      <w:r>
        <w:rPr>
          <w:rFonts w:hint="eastAsia"/>
          <w:b/>
          <w:bCs/>
          <w:color w:val="auto"/>
          <w:szCs w:val="21"/>
          <w:lang w:eastAsia="zh-CN"/>
        </w:rPr>
        <w:t>用</w:t>
      </w:r>
      <w:r>
        <w:rPr>
          <w:rFonts w:hint="eastAsia"/>
          <w:b/>
          <w:bCs/>
          <w:color w:val="auto"/>
          <w:szCs w:val="21"/>
          <w:highlight w:val="red"/>
          <w:lang w:eastAsia="zh-CN"/>
        </w:rPr>
        <w:t>黑色打孔文件夹</w:t>
      </w:r>
      <w:r>
        <w:rPr>
          <w:rFonts w:hint="eastAsia"/>
          <w:b/>
          <w:bCs/>
          <w:color w:val="auto"/>
          <w:szCs w:val="21"/>
          <w:highlight w:val="none"/>
          <w:lang w:eastAsia="zh-CN"/>
        </w:rPr>
        <w:t>装</w:t>
      </w:r>
      <w:r>
        <w:rPr>
          <w:rFonts w:hint="eastAsia"/>
          <w:b/>
          <w:bCs/>
          <w:color w:val="auto"/>
          <w:szCs w:val="21"/>
          <w:lang w:eastAsia="zh-CN"/>
        </w:rPr>
        <w:t>订后</w:t>
      </w:r>
      <w:r>
        <w:rPr>
          <w:rFonts w:hint="eastAsia"/>
          <w:b/>
          <w:bCs/>
          <w:color w:val="auto"/>
          <w:szCs w:val="21"/>
        </w:rPr>
        <w:t>递交至伦理办公室。</w:t>
      </w:r>
    </w:p>
    <w:p w14:paraId="2841B5AE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[2]定期跟踪审查请至少提前1周递交伦理办公室。</w:t>
      </w:r>
    </w:p>
    <w:p w14:paraId="0070073D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联系电话：0833-2405887</w:t>
      </w:r>
    </w:p>
    <w:p w14:paraId="797758A9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电子邮箱：</w:t>
      </w:r>
      <w:r>
        <w:fldChar w:fldCharType="begin"/>
      </w:r>
      <w:r>
        <w:instrText xml:space="preserve"> HYPERLINK "mailto:lssrmyy_EC@163.com" </w:instrText>
      </w:r>
      <w:r>
        <w:fldChar w:fldCharType="separate"/>
      </w:r>
      <w:r>
        <w:rPr>
          <w:rStyle w:val="13"/>
          <w:rFonts w:hint="eastAsia"/>
          <w:b/>
          <w:bCs/>
          <w:szCs w:val="21"/>
        </w:rPr>
        <w:t>lssrmyy_EC@163.com</w:t>
      </w:r>
      <w:r>
        <w:rPr>
          <w:rStyle w:val="13"/>
          <w:rFonts w:hint="eastAsia"/>
          <w:b/>
          <w:bCs/>
          <w:szCs w:val="21"/>
        </w:rPr>
        <w:fldChar w:fldCharType="end"/>
      </w:r>
    </w:p>
    <w:p w14:paraId="74551A02">
      <w:pPr>
        <w:adjustRightInd w:val="0"/>
        <w:snapToGrid w:val="0"/>
        <w:spacing w:line="360" w:lineRule="auto"/>
        <w:jc w:val="left"/>
        <w:rPr>
          <w:bCs/>
          <w:sz w:val="24"/>
        </w:rPr>
      </w:pPr>
    </w:p>
    <w:sectPr>
      <w:headerReference r:id="rId6" w:type="first"/>
      <w:footerReference r:id="rId7" w:type="first"/>
      <w:pgSz w:w="11906" w:h="16838"/>
      <w:pgMar w:top="1134" w:right="1134" w:bottom="1134" w:left="1701" w:header="454" w:footer="567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27AC32D-99F7-4818-BD1B-DE1CFF37B1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2" w:fontKey="{2427B734-B785-412E-9335-1EF53853CC7B}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3" w:fontKey="{B93D89A1-A08C-408C-99ED-B599F65C2E8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4FF08F0-0039-4E36-AC4B-C5A1D719E706}"/>
  </w:font>
  <w:font w:name="WPSEMBED2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59498"/>
      <w:docPartObj>
        <w:docPartGallery w:val="autotext"/>
      </w:docPartObj>
    </w:sdtPr>
    <w:sdtContent>
      <w:p w14:paraId="07C8F8BE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7D573BBD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CB12D1">
    <w:pPr>
      <w:pStyle w:val="7"/>
      <w:jc w:val="center"/>
    </w:pPr>
    <w:r>
      <w:rPr>
        <w:rFonts w:hint="eastAsia"/>
      </w:rPr>
      <w:t>1</w:t>
    </w:r>
  </w:p>
  <w:p w14:paraId="525DE61F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05681173"/>
      <w:docPartObj>
        <w:docPartGallery w:val="autotext"/>
      </w:docPartObj>
    </w:sdtPr>
    <w:sdtContent>
      <w:p w14:paraId="4D9B4C4F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 w14:paraId="4BFB010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79BBCC9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7528606A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ind w:firstLine="420"/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6CC10D30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ind w:firstLine="420"/>
          </w:pPr>
          <w:r>
            <w:rPr>
              <w:rFonts w:hint="eastAsia"/>
            </w:rPr>
            <w:t>指南</w:t>
          </w:r>
        </w:p>
      </w:tc>
      <w:tc>
        <w:tcPr>
          <w:tcW w:w="3402" w:type="dxa"/>
        </w:tcPr>
        <w:p w14:paraId="4BF13262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ind w:firstLine="420"/>
          </w:pPr>
          <w:r>
            <w:rPr>
              <w:rFonts w:hint="eastAsia"/>
            </w:rPr>
            <w:t>编号：PHLS-LW-ZN-001-01</w:t>
          </w:r>
        </w:p>
      </w:tc>
    </w:tr>
    <w:tr w14:paraId="306F30C0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0307246E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ind w:firstLine="420"/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1FEAE674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ind w:firstLine="420"/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2CCD2463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ind w:firstLine="420"/>
          </w:pPr>
          <w:r>
            <w:rPr>
              <w:rFonts w:hint="eastAsia"/>
            </w:rPr>
            <w:t>版次：第2版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1DD3E977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8280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none" w:color="auto" w:sz="0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3402"/>
      <w:gridCol w:w="1476"/>
      <w:gridCol w:w="3402"/>
    </w:tblGrid>
    <w:tr w14:paraId="331BE141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68719A2E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乐山市人民医院</w:t>
          </w:r>
        </w:p>
      </w:tc>
      <w:tc>
        <w:tcPr>
          <w:tcW w:w="1476" w:type="dxa"/>
          <w:vMerge w:val="restart"/>
          <w:tcBorders>
            <w:top w:val="single" w:color="auto" w:sz="4" w:space="0"/>
          </w:tcBorders>
          <w:vAlign w:val="center"/>
        </w:tcPr>
        <w:p w14:paraId="171039EE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附件</w:t>
          </w:r>
        </w:p>
      </w:tc>
      <w:tc>
        <w:tcPr>
          <w:tcW w:w="3402" w:type="dxa"/>
        </w:tcPr>
        <w:p w14:paraId="563D41E2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编号：PHLS-LW-FJ-029-01</w:t>
          </w:r>
        </w:p>
      </w:tc>
    </w:tr>
    <w:tr w14:paraId="3B480DF9"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40" w:hRule="atLeast"/>
        <w:jc w:val="center"/>
      </w:trPr>
      <w:tc>
        <w:tcPr>
          <w:tcW w:w="3402" w:type="dxa"/>
          <w:vAlign w:val="center"/>
        </w:tcPr>
        <w:p w14:paraId="0B13A3ED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rPr>
              <w:rFonts w:ascii="宋体"/>
            </w:rPr>
          </w:pPr>
          <w:r>
            <w:rPr>
              <w:rFonts w:hint="eastAsia" w:ascii="宋体"/>
            </w:rPr>
            <w:t>临床试验伦理委员会</w:t>
          </w:r>
        </w:p>
      </w:tc>
      <w:tc>
        <w:tcPr>
          <w:tcW w:w="1476" w:type="dxa"/>
          <w:vMerge w:val="continue"/>
        </w:tcPr>
        <w:p w14:paraId="4104B051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  <w:jc w:val="both"/>
            <w:rPr>
              <w:rFonts w:ascii="宋体"/>
            </w:rPr>
          </w:pPr>
        </w:p>
      </w:tc>
      <w:tc>
        <w:tcPr>
          <w:tcW w:w="3402" w:type="dxa"/>
        </w:tcPr>
        <w:p w14:paraId="2B399F45">
          <w:pPr>
            <w:pStyle w:val="8"/>
            <w:pBdr>
              <w:bottom w:val="none" w:color="auto" w:sz="0" w:space="0"/>
            </w:pBdr>
            <w:tabs>
              <w:tab w:val="clear" w:pos="4153"/>
              <w:tab w:val="clear" w:pos="8306"/>
            </w:tabs>
          </w:pPr>
          <w:r>
            <w:rPr>
              <w:rFonts w:hint="eastAsia"/>
            </w:rPr>
            <w:t>版次：第</w:t>
          </w:r>
          <w:r>
            <w:rPr>
              <w:rFonts w:hint="eastAsia"/>
              <w:lang w:val="en-US" w:eastAsia="zh-CN"/>
            </w:rPr>
            <w:t>2</w:t>
          </w:r>
          <w:r>
            <w:rPr>
              <w:rFonts w:hint="eastAsia"/>
            </w:rPr>
            <w:t>版   第</w:t>
          </w:r>
          <w:r>
            <w:rPr>
              <w:rFonts w:hint="eastAsia"/>
              <w:lang w:val="en-US" w:eastAsia="zh-CN"/>
            </w:rPr>
            <w:t>1</w:t>
          </w:r>
          <w:r>
            <w:rPr>
              <w:rFonts w:hint="eastAsia"/>
            </w:rPr>
            <w:t>次修改</w:t>
          </w:r>
        </w:p>
      </w:tc>
    </w:tr>
  </w:tbl>
  <w:p w14:paraId="0AF144C1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5NjIwZWYxYjFhNmUxMzIyYjQ1NGIxMDE1OTI4NmUifQ=="/>
  </w:docVars>
  <w:rsids>
    <w:rsidRoot w:val="00776B9E"/>
    <w:rsid w:val="00001426"/>
    <w:rsid w:val="00003607"/>
    <w:rsid w:val="0000725F"/>
    <w:rsid w:val="0001088A"/>
    <w:rsid w:val="00020ACE"/>
    <w:rsid w:val="00022781"/>
    <w:rsid w:val="00026E45"/>
    <w:rsid w:val="00027DEC"/>
    <w:rsid w:val="000305F1"/>
    <w:rsid w:val="00031389"/>
    <w:rsid w:val="000319E0"/>
    <w:rsid w:val="00041A22"/>
    <w:rsid w:val="00044AE4"/>
    <w:rsid w:val="0004719C"/>
    <w:rsid w:val="00053FA0"/>
    <w:rsid w:val="000617C5"/>
    <w:rsid w:val="000618C2"/>
    <w:rsid w:val="00063E62"/>
    <w:rsid w:val="00067695"/>
    <w:rsid w:val="00073ABB"/>
    <w:rsid w:val="00073F0A"/>
    <w:rsid w:val="000811BE"/>
    <w:rsid w:val="00082C5B"/>
    <w:rsid w:val="0009033E"/>
    <w:rsid w:val="000B0F82"/>
    <w:rsid w:val="000B3B2B"/>
    <w:rsid w:val="000B65F5"/>
    <w:rsid w:val="000F11C5"/>
    <w:rsid w:val="001072C0"/>
    <w:rsid w:val="0011302F"/>
    <w:rsid w:val="00114926"/>
    <w:rsid w:val="00125CE1"/>
    <w:rsid w:val="00130F83"/>
    <w:rsid w:val="0013234B"/>
    <w:rsid w:val="00136A77"/>
    <w:rsid w:val="0015678C"/>
    <w:rsid w:val="001575F3"/>
    <w:rsid w:val="00170AEA"/>
    <w:rsid w:val="00175D94"/>
    <w:rsid w:val="0018096C"/>
    <w:rsid w:val="00194F56"/>
    <w:rsid w:val="00195AC2"/>
    <w:rsid w:val="001C1584"/>
    <w:rsid w:val="001C37DD"/>
    <w:rsid w:val="001D517F"/>
    <w:rsid w:val="001F3A84"/>
    <w:rsid w:val="001F56FF"/>
    <w:rsid w:val="001F6A22"/>
    <w:rsid w:val="0020530A"/>
    <w:rsid w:val="00207676"/>
    <w:rsid w:val="00210752"/>
    <w:rsid w:val="00222D77"/>
    <w:rsid w:val="00224810"/>
    <w:rsid w:val="00244B28"/>
    <w:rsid w:val="00246F84"/>
    <w:rsid w:val="0025134A"/>
    <w:rsid w:val="00256C58"/>
    <w:rsid w:val="002624D6"/>
    <w:rsid w:val="00274C86"/>
    <w:rsid w:val="002751DB"/>
    <w:rsid w:val="00290798"/>
    <w:rsid w:val="00294240"/>
    <w:rsid w:val="002955DD"/>
    <w:rsid w:val="002C1F56"/>
    <w:rsid w:val="002D0B9F"/>
    <w:rsid w:val="002D6270"/>
    <w:rsid w:val="002D772A"/>
    <w:rsid w:val="002E316A"/>
    <w:rsid w:val="002F109D"/>
    <w:rsid w:val="0030139E"/>
    <w:rsid w:val="00317EDC"/>
    <w:rsid w:val="00322A05"/>
    <w:rsid w:val="00334ED1"/>
    <w:rsid w:val="00347C6C"/>
    <w:rsid w:val="00347F8F"/>
    <w:rsid w:val="003504A8"/>
    <w:rsid w:val="00353BA1"/>
    <w:rsid w:val="00362EC5"/>
    <w:rsid w:val="003650DE"/>
    <w:rsid w:val="003659EB"/>
    <w:rsid w:val="003925DD"/>
    <w:rsid w:val="003A30FF"/>
    <w:rsid w:val="003B2694"/>
    <w:rsid w:val="003B48DA"/>
    <w:rsid w:val="003C5D66"/>
    <w:rsid w:val="003D152C"/>
    <w:rsid w:val="003F541E"/>
    <w:rsid w:val="004022D1"/>
    <w:rsid w:val="00405095"/>
    <w:rsid w:val="004178CA"/>
    <w:rsid w:val="004508BC"/>
    <w:rsid w:val="00463311"/>
    <w:rsid w:val="0046721C"/>
    <w:rsid w:val="004911E8"/>
    <w:rsid w:val="004B0BF2"/>
    <w:rsid w:val="004B6DD0"/>
    <w:rsid w:val="004B772F"/>
    <w:rsid w:val="004C7696"/>
    <w:rsid w:val="004D2D12"/>
    <w:rsid w:val="004F2BC0"/>
    <w:rsid w:val="00504EF9"/>
    <w:rsid w:val="0050617F"/>
    <w:rsid w:val="0051246D"/>
    <w:rsid w:val="00515117"/>
    <w:rsid w:val="00526DBC"/>
    <w:rsid w:val="00551849"/>
    <w:rsid w:val="0056372E"/>
    <w:rsid w:val="00575212"/>
    <w:rsid w:val="00577A21"/>
    <w:rsid w:val="005840DC"/>
    <w:rsid w:val="005853DC"/>
    <w:rsid w:val="005861CD"/>
    <w:rsid w:val="005911BF"/>
    <w:rsid w:val="0059369C"/>
    <w:rsid w:val="005A41B6"/>
    <w:rsid w:val="005A6F01"/>
    <w:rsid w:val="005A6FF8"/>
    <w:rsid w:val="005D3CBB"/>
    <w:rsid w:val="005E1625"/>
    <w:rsid w:val="0060018E"/>
    <w:rsid w:val="006026DD"/>
    <w:rsid w:val="00604916"/>
    <w:rsid w:val="00605751"/>
    <w:rsid w:val="00620E31"/>
    <w:rsid w:val="00621948"/>
    <w:rsid w:val="00627AAA"/>
    <w:rsid w:val="00630460"/>
    <w:rsid w:val="0063256C"/>
    <w:rsid w:val="0063394A"/>
    <w:rsid w:val="00643703"/>
    <w:rsid w:val="00645658"/>
    <w:rsid w:val="00646333"/>
    <w:rsid w:val="00646C2B"/>
    <w:rsid w:val="006475B3"/>
    <w:rsid w:val="006479CD"/>
    <w:rsid w:val="0065569F"/>
    <w:rsid w:val="00666453"/>
    <w:rsid w:val="0067609F"/>
    <w:rsid w:val="0068188B"/>
    <w:rsid w:val="00685AD0"/>
    <w:rsid w:val="00686FAC"/>
    <w:rsid w:val="0069052D"/>
    <w:rsid w:val="00693F05"/>
    <w:rsid w:val="006A0F1E"/>
    <w:rsid w:val="006B3301"/>
    <w:rsid w:val="006B445A"/>
    <w:rsid w:val="006B481B"/>
    <w:rsid w:val="006B5CAB"/>
    <w:rsid w:val="006C1177"/>
    <w:rsid w:val="006D539D"/>
    <w:rsid w:val="006E01F0"/>
    <w:rsid w:val="006F220C"/>
    <w:rsid w:val="006F3650"/>
    <w:rsid w:val="006F759F"/>
    <w:rsid w:val="00701620"/>
    <w:rsid w:val="00703084"/>
    <w:rsid w:val="00705904"/>
    <w:rsid w:val="007115CB"/>
    <w:rsid w:val="00740A4D"/>
    <w:rsid w:val="00744AEC"/>
    <w:rsid w:val="00745A3A"/>
    <w:rsid w:val="00747913"/>
    <w:rsid w:val="007536F6"/>
    <w:rsid w:val="00770FF7"/>
    <w:rsid w:val="00776B9E"/>
    <w:rsid w:val="00786AC0"/>
    <w:rsid w:val="00792798"/>
    <w:rsid w:val="007951A9"/>
    <w:rsid w:val="007A36B3"/>
    <w:rsid w:val="007C0A42"/>
    <w:rsid w:val="007C1D97"/>
    <w:rsid w:val="007C346F"/>
    <w:rsid w:val="007C5CA2"/>
    <w:rsid w:val="007C6E41"/>
    <w:rsid w:val="007E157D"/>
    <w:rsid w:val="007E4037"/>
    <w:rsid w:val="007F2DC1"/>
    <w:rsid w:val="00800E9A"/>
    <w:rsid w:val="00806AB2"/>
    <w:rsid w:val="00817205"/>
    <w:rsid w:val="0082217D"/>
    <w:rsid w:val="00823BA7"/>
    <w:rsid w:val="00824295"/>
    <w:rsid w:val="0082636C"/>
    <w:rsid w:val="008462FD"/>
    <w:rsid w:val="008615EE"/>
    <w:rsid w:val="008672FB"/>
    <w:rsid w:val="0087345C"/>
    <w:rsid w:val="00873A3A"/>
    <w:rsid w:val="0089213F"/>
    <w:rsid w:val="008B1D62"/>
    <w:rsid w:val="008C0000"/>
    <w:rsid w:val="00920F7B"/>
    <w:rsid w:val="00933B81"/>
    <w:rsid w:val="00934A7C"/>
    <w:rsid w:val="00937862"/>
    <w:rsid w:val="00937B2D"/>
    <w:rsid w:val="00940C3C"/>
    <w:rsid w:val="00946A44"/>
    <w:rsid w:val="00956545"/>
    <w:rsid w:val="00960EE5"/>
    <w:rsid w:val="00961986"/>
    <w:rsid w:val="00964B33"/>
    <w:rsid w:val="00975D66"/>
    <w:rsid w:val="009812DD"/>
    <w:rsid w:val="0099014D"/>
    <w:rsid w:val="00990C88"/>
    <w:rsid w:val="00993D16"/>
    <w:rsid w:val="00997072"/>
    <w:rsid w:val="00997544"/>
    <w:rsid w:val="009B453D"/>
    <w:rsid w:val="009B5F25"/>
    <w:rsid w:val="009B6C88"/>
    <w:rsid w:val="009C1743"/>
    <w:rsid w:val="009D0363"/>
    <w:rsid w:val="009D493C"/>
    <w:rsid w:val="009D5A2C"/>
    <w:rsid w:val="009D6B3A"/>
    <w:rsid w:val="009E17FF"/>
    <w:rsid w:val="009E2F4E"/>
    <w:rsid w:val="009F1BCD"/>
    <w:rsid w:val="00A004BC"/>
    <w:rsid w:val="00A04855"/>
    <w:rsid w:val="00A068E2"/>
    <w:rsid w:val="00A07AD3"/>
    <w:rsid w:val="00A17F81"/>
    <w:rsid w:val="00A241F9"/>
    <w:rsid w:val="00A264BD"/>
    <w:rsid w:val="00A330C5"/>
    <w:rsid w:val="00A33CB9"/>
    <w:rsid w:val="00A52289"/>
    <w:rsid w:val="00A52722"/>
    <w:rsid w:val="00A66394"/>
    <w:rsid w:val="00A81D4E"/>
    <w:rsid w:val="00A92334"/>
    <w:rsid w:val="00A964D4"/>
    <w:rsid w:val="00AA0A9F"/>
    <w:rsid w:val="00AB144C"/>
    <w:rsid w:val="00AB3E5F"/>
    <w:rsid w:val="00AC2CC9"/>
    <w:rsid w:val="00AC4084"/>
    <w:rsid w:val="00AC7CA4"/>
    <w:rsid w:val="00AF35C7"/>
    <w:rsid w:val="00AF4341"/>
    <w:rsid w:val="00AF670F"/>
    <w:rsid w:val="00B129E1"/>
    <w:rsid w:val="00B153F9"/>
    <w:rsid w:val="00B2550C"/>
    <w:rsid w:val="00B27303"/>
    <w:rsid w:val="00B30A84"/>
    <w:rsid w:val="00B43BD2"/>
    <w:rsid w:val="00B450E3"/>
    <w:rsid w:val="00B62A95"/>
    <w:rsid w:val="00BB65B5"/>
    <w:rsid w:val="00BB712A"/>
    <w:rsid w:val="00BC3D42"/>
    <w:rsid w:val="00BE0BD7"/>
    <w:rsid w:val="00BF1351"/>
    <w:rsid w:val="00C014F6"/>
    <w:rsid w:val="00C04342"/>
    <w:rsid w:val="00C10F4F"/>
    <w:rsid w:val="00C114C7"/>
    <w:rsid w:val="00C25C70"/>
    <w:rsid w:val="00C2778C"/>
    <w:rsid w:val="00C36DC9"/>
    <w:rsid w:val="00C37BE1"/>
    <w:rsid w:val="00C4470E"/>
    <w:rsid w:val="00C47332"/>
    <w:rsid w:val="00C648D7"/>
    <w:rsid w:val="00C65904"/>
    <w:rsid w:val="00C708CD"/>
    <w:rsid w:val="00C71F62"/>
    <w:rsid w:val="00C82E45"/>
    <w:rsid w:val="00C8319F"/>
    <w:rsid w:val="00C831DB"/>
    <w:rsid w:val="00C96E14"/>
    <w:rsid w:val="00CA3706"/>
    <w:rsid w:val="00CA4310"/>
    <w:rsid w:val="00CC67E9"/>
    <w:rsid w:val="00D062EE"/>
    <w:rsid w:val="00D22CE2"/>
    <w:rsid w:val="00D24E3B"/>
    <w:rsid w:val="00D2539C"/>
    <w:rsid w:val="00D2576A"/>
    <w:rsid w:val="00D26765"/>
    <w:rsid w:val="00D44E63"/>
    <w:rsid w:val="00D46BF9"/>
    <w:rsid w:val="00D508D4"/>
    <w:rsid w:val="00D549DE"/>
    <w:rsid w:val="00D56064"/>
    <w:rsid w:val="00D667DB"/>
    <w:rsid w:val="00D67F1E"/>
    <w:rsid w:val="00D73121"/>
    <w:rsid w:val="00D747BA"/>
    <w:rsid w:val="00D83BC4"/>
    <w:rsid w:val="00DA32C7"/>
    <w:rsid w:val="00DB56E5"/>
    <w:rsid w:val="00DC0865"/>
    <w:rsid w:val="00DE3F60"/>
    <w:rsid w:val="00E251A5"/>
    <w:rsid w:val="00E326E6"/>
    <w:rsid w:val="00E32AB4"/>
    <w:rsid w:val="00E404A1"/>
    <w:rsid w:val="00E4172F"/>
    <w:rsid w:val="00E56788"/>
    <w:rsid w:val="00E64406"/>
    <w:rsid w:val="00E72FCB"/>
    <w:rsid w:val="00E73E05"/>
    <w:rsid w:val="00E7507B"/>
    <w:rsid w:val="00E75CDB"/>
    <w:rsid w:val="00E77DCF"/>
    <w:rsid w:val="00E97692"/>
    <w:rsid w:val="00ED01A8"/>
    <w:rsid w:val="00ED01CE"/>
    <w:rsid w:val="00ED295C"/>
    <w:rsid w:val="00EE1515"/>
    <w:rsid w:val="00EE4F16"/>
    <w:rsid w:val="00EF1573"/>
    <w:rsid w:val="00EF5A64"/>
    <w:rsid w:val="00F01722"/>
    <w:rsid w:val="00F1380B"/>
    <w:rsid w:val="00F26636"/>
    <w:rsid w:val="00F329C5"/>
    <w:rsid w:val="00F451AB"/>
    <w:rsid w:val="00F52BB0"/>
    <w:rsid w:val="00F566F7"/>
    <w:rsid w:val="00F81D64"/>
    <w:rsid w:val="00FA4143"/>
    <w:rsid w:val="00FB03EF"/>
    <w:rsid w:val="00FB24D1"/>
    <w:rsid w:val="00FB4100"/>
    <w:rsid w:val="00FD1C91"/>
    <w:rsid w:val="00FD1FC7"/>
    <w:rsid w:val="00FD49EB"/>
    <w:rsid w:val="00FD5E43"/>
    <w:rsid w:val="00FE0F9C"/>
    <w:rsid w:val="00FE1B58"/>
    <w:rsid w:val="00FE37FE"/>
    <w:rsid w:val="00FE3E07"/>
    <w:rsid w:val="00FE6E92"/>
    <w:rsid w:val="00FF1698"/>
    <w:rsid w:val="00FF1CBA"/>
    <w:rsid w:val="00FF30FB"/>
    <w:rsid w:val="00FF4366"/>
    <w:rsid w:val="04F01EE9"/>
    <w:rsid w:val="099B2256"/>
    <w:rsid w:val="0CF376F4"/>
    <w:rsid w:val="102E607F"/>
    <w:rsid w:val="161D3757"/>
    <w:rsid w:val="17CD1C16"/>
    <w:rsid w:val="26F470FC"/>
    <w:rsid w:val="2BB161B4"/>
    <w:rsid w:val="33BB353F"/>
    <w:rsid w:val="469A425F"/>
    <w:rsid w:val="47C47B5E"/>
    <w:rsid w:val="503C5114"/>
    <w:rsid w:val="64170287"/>
    <w:rsid w:val="786D3CA8"/>
    <w:rsid w:val="7A91437C"/>
    <w:rsid w:val="7E466B24"/>
    <w:rsid w:val="7F00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autoSpaceDE w:val="0"/>
      <w:autoSpaceDN w:val="0"/>
      <w:adjustRightInd w:val="0"/>
      <w:ind w:left="270" w:hanging="270"/>
      <w:jc w:val="left"/>
      <w:outlineLvl w:val="1"/>
    </w:pPr>
    <w:rPr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6"/>
    <w:semiHidden/>
    <w:unhideWhenUsed/>
    <w:qFormat/>
    <w:uiPriority w:val="99"/>
    <w:pPr>
      <w:jc w:val="left"/>
    </w:pPr>
  </w:style>
  <w:style w:type="paragraph" w:styleId="5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sz w:val="24"/>
    </w:rPr>
  </w:style>
  <w:style w:type="paragraph" w:styleId="6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27"/>
    <w:semiHidden/>
    <w:unhideWhenUsed/>
    <w:qFormat/>
    <w:uiPriority w:val="99"/>
    <w:rPr>
      <w:b/>
      <w:bCs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Table Paragraph"/>
    <w:basedOn w:val="1"/>
    <w:qFormat/>
    <w:uiPriority w:val="1"/>
    <w:rPr>
      <w:rFonts w:ascii="黑体" w:hAnsi="黑体" w:eastAsia="黑体" w:cs="黑体"/>
      <w:lang w:val="fr-FR" w:eastAsia="fr-FR" w:bidi="fr-FR"/>
    </w:rPr>
  </w:style>
  <w:style w:type="character" w:customStyle="1" w:styleId="16">
    <w:name w:val="页眉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框文本 Char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9">
    <w:name w:val="No Spacing"/>
    <w:link w:val="20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20">
    <w:name w:val="无间隔 Char"/>
    <w:basedOn w:val="11"/>
    <w:link w:val="19"/>
    <w:qFormat/>
    <w:uiPriority w:val="1"/>
    <w:rPr>
      <w:kern w:val="0"/>
      <w:sz w:val="22"/>
    </w:rPr>
  </w:style>
  <w:style w:type="character" w:customStyle="1" w:styleId="21">
    <w:name w:val="标题 2 Char"/>
    <w:basedOn w:val="11"/>
    <w:link w:val="3"/>
    <w:qFormat/>
    <w:uiPriority w:val="0"/>
    <w:rPr>
      <w:rFonts w:ascii="Times New Roman" w:hAnsi="Times New Roman" w:eastAsia="宋体" w:cs="Times New Roman"/>
      <w:color w:val="FFFFFF"/>
      <w:kern w:val="0"/>
      <w:sz w:val="32"/>
      <w:szCs w:val="32"/>
      <w:lang w:val="zh-C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2">
    <w:name w:val="正文文本缩进 Char"/>
    <w:basedOn w:val="11"/>
    <w:link w:val="5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3">
    <w:name w:val="标题 1 Char"/>
    <w:basedOn w:val="11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6">
    <w:name w:val="批注文字 Char"/>
    <w:basedOn w:val="11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7">
    <w:name w:val="批注主题 Char"/>
    <w:basedOn w:val="26"/>
    <w:link w:val="9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42262-22A9-46D5-9FBB-B42E29901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Pe8.net</Company>
  <Pages>6</Pages>
  <Words>3684</Words>
  <Characters>3879</Characters>
  <Lines>27</Lines>
  <Paragraphs>7</Paragraphs>
  <TotalTime>67</TotalTime>
  <ScaleCrop>false</ScaleCrop>
  <LinksUpToDate>false</LinksUpToDate>
  <CharactersWithSpaces>3882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2022-10-08T00:57:00Z</dcterms:created>
  <dc:creator>MM</dc:creator>
  <cp:lastModifiedBy>WPS_1529213048</cp:lastModifiedBy>
  <cp:lastPrinted>2025-11-16T05:57:52Z</cp:lastPrinted>
  <dcterms:modified xsi:type="dcterms:W3CDTF">2025-11-16T06:06:27Z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DFC34CB1DFF84A18B06A29998EB77C51_13</vt:lpwstr>
  </property>
  <property fmtid="{D5CDD505-2E9C-101B-9397-08002B2CF9AE}" pid="4" name="KSOTemplateDocerSaveRecord">
    <vt:lpwstr>eyJoZGlkIjoiNDM5NjIwZWYxYjFhNmUxMzIyYjQ1NGIxMDE1OTI4NmUiLCJ1c2VySWQiOiIzNzg5NDUxNjcifQ==</vt:lpwstr>
  </property>
</Properties>
</file>